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C8" w:rsidRPr="000E0B81" w:rsidRDefault="00296EC8" w:rsidP="00296EC8">
      <w:pPr>
        <w:tabs>
          <w:tab w:val="left" w:pos="-3060"/>
        </w:tabs>
        <w:spacing w:line="360" w:lineRule="auto"/>
        <w:jc w:val="center"/>
        <w:rPr>
          <w:b/>
          <w:bCs/>
          <w:sz w:val="24"/>
          <w:szCs w:val="24"/>
        </w:rPr>
      </w:pPr>
      <w:bookmarkStart w:id="0" w:name="_GoBack"/>
      <w:bookmarkEnd w:id="0"/>
      <w:r w:rsidRPr="000E0B81">
        <w:rPr>
          <w:b/>
          <w:bCs/>
          <w:sz w:val="24"/>
          <w:szCs w:val="24"/>
        </w:rPr>
        <w:t>Приложение</w:t>
      </w:r>
      <w:proofErr w:type="gramStart"/>
      <w:r w:rsidRPr="000E0B81">
        <w:rPr>
          <w:b/>
          <w:bCs/>
          <w:sz w:val="24"/>
          <w:szCs w:val="24"/>
        </w:rPr>
        <w:t xml:space="preserve"> </w:t>
      </w:r>
      <w:r w:rsidR="00D16815">
        <w:rPr>
          <w:b/>
          <w:bCs/>
          <w:sz w:val="24"/>
          <w:szCs w:val="24"/>
        </w:rPr>
        <w:t>К</w:t>
      </w:r>
      <w:proofErr w:type="gramEnd"/>
    </w:p>
    <w:p w:rsidR="00296EC8" w:rsidRPr="000E0B81" w:rsidRDefault="00296EC8" w:rsidP="00296EC8">
      <w:pPr>
        <w:tabs>
          <w:tab w:val="left" w:pos="-3060"/>
        </w:tabs>
        <w:spacing w:line="360" w:lineRule="auto"/>
        <w:jc w:val="center"/>
        <w:rPr>
          <w:bCs/>
          <w:sz w:val="24"/>
          <w:szCs w:val="24"/>
        </w:rPr>
      </w:pPr>
      <w:r w:rsidRPr="000E0B81">
        <w:rPr>
          <w:bCs/>
          <w:sz w:val="24"/>
          <w:szCs w:val="24"/>
        </w:rPr>
        <w:t>(обязательное)</w:t>
      </w:r>
    </w:p>
    <w:p w:rsidR="00296EC8" w:rsidRPr="004077E1" w:rsidRDefault="00296EC8" w:rsidP="00296EC8">
      <w:pPr>
        <w:shd w:val="clear" w:color="auto" w:fill="FFFFFF"/>
        <w:tabs>
          <w:tab w:val="left" w:pos="1080"/>
        </w:tabs>
        <w:spacing w:after="200" w:line="360" w:lineRule="auto"/>
        <w:jc w:val="center"/>
        <w:rPr>
          <w:b/>
          <w:color w:val="000000"/>
          <w:sz w:val="28"/>
          <w:szCs w:val="28"/>
        </w:rPr>
      </w:pPr>
      <w:r w:rsidRPr="004077E1">
        <w:rPr>
          <w:b/>
          <w:color w:val="000000"/>
          <w:sz w:val="28"/>
          <w:szCs w:val="28"/>
        </w:rPr>
        <w:t>Геотехнические категории подземных коммуникаций</w:t>
      </w:r>
    </w:p>
    <w:p w:rsidR="00296EC8" w:rsidRPr="000E0B81" w:rsidRDefault="00296EC8" w:rsidP="00296EC8">
      <w:pPr>
        <w:shd w:val="clear" w:color="auto" w:fill="FFFFFF"/>
        <w:tabs>
          <w:tab w:val="left" w:pos="1080"/>
        </w:tabs>
        <w:jc w:val="center"/>
        <w:rPr>
          <w:b/>
          <w:color w:val="000000"/>
          <w:sz w:val="24"/>
          <w:szCs w:val="24"/>
        </w:rPr>
      </w:pPr>
      <w:r w:rsidRPr="000E0B81">
        <w:rPr>
          <w:b/>
          <w:color w:val="000000"/>
          <w:sz w:val="24"/>
          <w:szCs w:val="24"/>
        </w:rPr>
        <w:t xml:space="preserve"> </w:t>
      </w:r>
    </w:p>
    <w:p w:rsidR="00296EC8" w:rsidRPr="00D16815" w:rsidRDefault="00296EC8" w:rsidP="00D16815">
      <w:pPr>
        <w:pStyle w:val="a5"/>
        <w:numPr>
          <w:ilvl w:val="0"/>
          <w:numId w:val="1"/>
        </w:numPr>
        <w:spacing w:line="360" w:lineRule="auto"/>
        <w:ind w:left="0" w:firstLine="567"/>
        <w:jc w:val="both"/>
        <w:rPr>
          <w:sz w:val="24"/>
          <w:szCs w:val="24"/>
        </w:rPr>
      </w:pPr>
      <w:r w:rsidRPr="00D16815">
        <w:rPr>
          <w:sz w:val="24"/>
          <w:szCs w:val="24"/>
        </w:rPr>
        <w:t xml:space="preserve">Геотехнические категории объектов строительства подземных коммуникаций следует устанавливать в соответствии с таблицей </w:t>
      </w:r>
      <w:r w:rsidR="00D16815" w:rsidRPr="00D16815">
        <w:rPr>
          <w:sz w:val="24"/>
          <w:szCs w:val="24"/>
        </w:rPr>
        <w:t>К</w:t>
      </w:r>
      <w:r w:rsidRPr="00D16815">
        <w:rPr>
          <w:sz w:val="24"/>
          <w:szCs w:val="24"/>
        </w:rPr>
        <w:t>.</w:t>
      </w:r>
    </w:p>
    <w:p w:rsidR="009C57F3" w:rsidRDefault="009C57F3" w:rsidP="009C57F3">
      <w:pPr>
        <w:ind w:right="-54" w:firstLine="567"/>
        <w:rPr>
          <w:sz w:val="24"/>
          <w:szCs w:val="24"/>
        </w:rPr>
      </w:pPr>
    </w:p>
    <w:p w:rsidR="00296EC8" w:rsidRPr="000E0B81" w:rsidRDefault="00296EC8" w:rsidP="009C57F3">
      <w:pPr>
        <w:ind w:right="-54"/>
        <w:rPr>
          <w:sz w:val="24"/>
          <w:szCs w:val="24"/>
        </w:rPr>
      </w:pPr>
      <w:r w:rsidRPr="000E0B81">
        <w:rPr>
          <w:sz w:val="24"/>
          <w:szCs w:val="24"/>
        </w:rPr>
        <w:t>Таблица</w:t>
      </w:r>
      <w:proofErr w:type="gramStart"/>
      <w:r w:rsidRPr="000E0B81">
        <w:rPr>
          <w:sz w:val="24"/>
          <w:szCs w:val="24"/>
        </w:rPr>
        <w:t xml:space="preserve"> </w:t>
      </w:r>
      <w:r w:rsidR="00D16815">
        <w:rPr>
          <w:sz w:val="24"/>
          <w:szCs w:val="24"/>
        </w:rPr>
        <w:t>К</w:t>
      </w:r>
      <w:proofErr w:type="gramEnd"/>
      <w:r w:rsidR="009C57F3">
        <w:rPr>
          <w:sz w:val="24"/>
          <w:szCs w:val="24"/>
        </w:rPr>
        <w:t xml:space="preserve"> </w:t>
      </w:r>
      <w:r w:rsidRPr="000E0B81">
        <w:rPr>
          <w:sz w:val="24"/>
          <w:szCs w:val="24"/>
        </w:rPr>
        <w:t>Геотехнические категории объектов строительства подземных коммуникаций</w:t>
      </w:r>
    </w:p>
    <w:p w:rsidR="00296EC8" w:rsidRPr="000E0B81" w:rsidRDefault="00296EC8" w:rsidP="00296EC8">
      <w:pPr>
        <w:ind w:right="-54" w:firstLine="900"/>
        <w:jc w:val="both"/>
      </w:pPr>
    </w:p>
    <w:tbl>
      <w:tblPr>
        <w:tblW w:w="9360" w:type="dxa"/>
        <w:tblInd w:w="45" w:type="dxa"/>
        <w:tblLayout w:type="fixed"/>
        <w:tblCellMar>
          <w:left w:w="45" w:type="dxa"/>
          <w:right w:w="45" w:type="dxa"/>
        </w:tblCellMar>
        <w:tblLook w:val="0000"/>
      </w:tblPr>
      <w:tblGrid>
        <w:gridCol w:w="3402"/>
        <w:gridCol w:w="1998"/>
        <w:gridCol w:w="1980"/>
        <w:gridCol w:w="1980"/>
      </w:tblGrid>
      <w:tr w:rsidR="00296EC8" w:rsidRPr="000E0B81" w:rsidTr="00D47EA4">
        <w:tc>
          <w:tcPr>
            <w:tcW w:w="3402" w:type="dxa"/>
            <w:vMerge w:val="restart"/>
            <w:tcBorders>
              <w:top w:val="single" w:sz="2" w:space="0" w:color="auto"/>
              <w:left w:val="single" w:sz="2" w:space="0" w:color="auto"/>
              <w:right w:val="single" w:sz="2" w:space="0" w:color="auto"/>
            </w:tcBorders>
            <w:vAlign w:val="center"/>
          </w:tcPr>
          <w:p w:rsidR="00296EC8" w:rsidRPr="000E0B81" w:rsidRDefault="00296EC8" w:rsidP="008B1800">
            <w:pPr>
              <w:spacing w:beforeLines="60" w:afterLines="60"/>
              <w:ind w:right="-54" w:firstLine="135"/>
              <w:jc w:val="center"/>
              <w:rPr>
                <w:sz w:val="24"/>
                <w:szCs w:val="24"/>
              </w:rPr>
            </w:pPr>
            <w:r w:rsidRPr="000E0B81">
              <w:rPr>
                <w:sz w:val="24"/>
                <w:szCs w:val="24"/>
              </w:rPr>
              <w:t>Категория сложности инженерно-геологических условий</w:t>
            </w:r>
          </w:p>
        </w:tc>
        <w:tc>
          <w:tcPr>
            <w:tcW w:w="5958" w:type="dxa"/>
            <w:gridSpan w:val="3"/>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54" w:firstLine="180"/>
              <w:jc w:val="center"/>
              <w:rPr>
                <w:sz w:val="24"/>
                <w:szCs w:val="24"/>
              </w:rPr>
            </w:pPr>
            <w:r w:rsidRPr="000E0B81">
              <w:rPr>
                <w:sz w:val="24"/>
                <w:szCs w:val="24"/>
              </w:rPr>
              <w:t>Уровень ответственности объекта</w:t>
            </w:r>
          </w:p>
        </w:tc>
      </w:tr>
      <w:tr w:rsidR="00296EC8" w:rsidRPr="000E0B81" w:rsidTr="00D47EA4">
        <w:tc>
          <w:tcPr>
            <w:tcW w:w="3402" w:type="dxa"/>
            <w:vMerge/>
            <w:tcBorders>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54" w:firstLine="135"/>
              <w:jc w:val="center"/>
              <w:rPr>
                <w:sz w:val="24"/>
                <w:szCs w:val="24"/>
              </w:rPr>
            </w:pPr>
          </w:p>
        </w:tc>
        <w:tc>
          <w:tcPr>
            <w:tcW w:w="1998"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54"/>
              <w:jc w:val="center"/>
              <w:rPr>
                <w:sz w:val="24"/>
                <w:szCs w:val="24"/>
              </w:rPr>
            </w:pPr>
            <w:r w:rsidRPr="000E0B81">
              <w:rPr>
                <w:sz w:val="24"/>
                <w:szCs w:val="24"/>
              </w:rPr>
              <w:t>повышенный</w:t>
            </w:r>
          </w:p>
        </w:tc>
        <w:tc>
          <w:tcPr>
            <w:tcW w:w="1980"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57"/>
              <w:jc w:val="center"/>
              <w:rPr>
                <w:sz w:val="24"/>
                <w:szCs w:val="24"/>
              </w:rPr>
            </w:pPr>
            <w:r w:rsidRPr="000E0B81">
              <w:rPr>
                <w:sz w:val="24"/>
                <w:szCs w:val="24"/>
              </w:rPr>
              <w:t>нормальный</w:t>
            </w:r>
          </w:p>
        </w:tc>
        <w:tc>
          <w:tcPr>
            <w:tcW w:w="1980"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57"/>
              <w:jc w:val="center"/>
              <w:rPr>
                <w:sz w:val="24"/>
                <w:szCs w:val="24"/>
              </w:rPr>
            </w:pPr>
            <w:r w:rsidRPr="000E0B81">
              <w:rPr>
                <w:sz w:val="24"/>
                <w:szCs w:val="24"/>
              </w:rPr>
              <w:t>пониженный</w:t>
            </w:r>
          </w:p>
        </w:tc>
      </w:tr>
      <w:tr w:rsidR="00296EC8" w:rsidRPr="000E0B81" w:rsidTr="00D47EA4">
        <w:tc>
          <w:tcPr>
            <w:tcW w:w="3402"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firstLine="135"/>
              <w:jc w:val="center"/>
              <w:rPr>
                <w:sz w:val="24"/>
                <w:szCs w:val="24"/>
              </w:rPr>
            </w:pPr>
            <w:r w:rsidRPr="000E0B81">
              <w:rPr>
                <w:sz w:val="24"/>
                <w:szCs w:val="24"/>
              </w:rPr>
              <w:t>1 (простая)</w:t>
            </w:r>
          </w:p>
        </w:tc>
        <w:tc>
          <w:tcPr>
            <w:tcW w:w="1998"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jc w:val="center"/>
              <w:rPr>
                <w:sz w:val="24"/>
                <w:szCs w:val="24"/>
              </w:rPr>
            </w:pPr>
            <w:r w:rsidRPr="000E0B81">
              <w:rPr>
                <w:sz w:val="24"/>
                <w:szCs w:val="24"/>
              </w:rPr>
              <w:t>2</w:t>
            </w:r>
          </w:p>
        </w:tc>
        <w:tc>
          <w:tcPr>
            <w:tcW w:w="1980"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firstLine="45"/>
              <w:jc w:val="center"/>
              <w:rPr>
                <w:sz w:val="24"/>
                <w:szCs w:val="24"/>
              </w:rPr>
            </w:pPr>
            <w:r w:rsidRPr="000E0B81">
              <w:rPr>
                <w:sz w:val="24"/>
                <w:szCs w:val="24"/>
              </w:rPr>
              <w:t>2</w:t>
            </w:r>
          </w:p>
        </w:tc>
        <w:tc>
          <w:tcPr>
            <w:tcW w:w="1980"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jc w:val="center"/>
              <w:rPr>
                <w:sz w:val="24"/>
                <w:szCs w:val="24"/>
              </w:rPr>
            </w:pPr>
            <w:r w:rsidRPr="000E0B81">
              <w:rPr>
                <w:sz w:val="24"/>
                <w:szCs w:val="24"/>
              </w:rPr>
              <w:t>1</w:t>
            </w:r>
          </w:p>
        </w:tc>
      </w:tr>
      <w:tr w:rsidR="00296EC8" w:rsidRPr="000E0B81" w:rsidTr="00D47EA4">
        <w:tc>
          <w:tcPr>
            <w:tcW w:w="3402"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firstLine="135"/>
              <w:jc w:val="center"/>
              <w:rPr>
                <w:sz w:val="24"/>
                <w:szCs w:val="24"/>
              </w:rPr>
            </w:pPr>
            <w:r w:rsidRPr="000E0B81">
              <w:rPr>
                <w:sz w:val="24"/>
                <w:szCs w:val="24"/>
              </w:rPr>
              <w:t>II (средняя)</w:t>
            </w:r>
          </w:p>
        </w:tc>
        <w:tc>
          <w:tcPr>
            <w:tcW w:w="1998"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jc w:val="center"/>
              <w:rPr>
                <w:sz w:val="24"/>
                <w:szCs w:val="24"/>
              </w:rPr>
            </w:pPr>
            <w:r w:rsidRPr="000E0B81">
              <w:rPr>
                <w:sz w:val="24"/>
                <w:szCs w:val="24"/>
              </w:rPr>
              <w:t>3</w:t>
            </w:r>
          </w:p>
        </w:tc>
        <w:tc>
          <w:tcPr>
            <w:tcW w:w="1980"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firstLine="45"/>
              <w:jc w:val="center"/>
              <w:rPr>
                <w:sz w:val="24"/>
                <w:szCs w:val="24"/>
              </w:rPr>
            </w:pPr>
            <w:r w:rsidRPr="000E0B81">
              <w:rPr>
                <w:sz w:val="24"/>
                <w:szCs w:val="24"/>
              </w:rPr>
              <w:t>2</w:t>
            </w:r>
          </w:p>
        </w:tc>
        <w:tc>
          <w:tcPr>
            <w:tcW w:w="1980"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jc w:val="center"/>
              <w:rPr>
                <w:sz w:val="24"/>
                <w:szCs w:val="24"/>
              </w:rPr>
            </w:pPr>
            <w:r w:rsidRPr="000E0B81">
              <w:rPr>
                <w:sz w:val="24"/>
                <w:szCs w:val="24"/>
              </w:rPr>
              <w:t>1</w:t>
            </w:r>
          </w:p>
        </w:tc>
      </w:tr>
      <w:tr w:rsidR="00296EC8" w:rsidRPr="000E0B81" w:rsidTr="00D47EA4">
        <w:tc>
          <w:tcPr>
            <w:tcW w:w="3402"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firstLine="135"/>
              <w:jc w:val="center"/>
              <w:rPr>
                <w:sz w:val="24"/>
                <w:szCs w:val="24"/>
              </w:rPr>
            </w:pPr>
            <w:r w:rsidRPr="000E0B81">
              <w:rPr>
                <w:sz w:val="24"/>
                <w:szCs w:val="24"/>
              </w:rPr>
              <w:t>III (сложная)</w:t>
            </w:r>
          </w:p>
        </w:tc>
        <w:tc>
          <w:tcPr>
            <w:tcW w:w="1998"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jc w:val="center"/>
              <w:rPr>
                <w:sz w:val="24"/>
                <w:szCs w:val="24"/>
              </w:rPr>
            </w:pPr>
            <w:r w:rsidRPr="000E0B81">
              <w:rPr>
                <w:sz w:val="24"/>
                <w:szCs w:val="24"/>
              </w:rPr>
              <w:t>3</w:t>
            </w:r>
          </w:p>
        </w:tc>
        <w:tc>
          <w:tcPr>
            <w:tcW w:w="1980"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firstLine="45"/>
              <w:jc w:val="center"/>
              <w:rPr>
                <w:sz w:val="24"/>
                <w:szCs w:val="24"/>
              </w:rPr>
            </w:pPr>
            <w:r w:rsidRPr="000E0B81">
              <w:rPr>
                <w:sz w:val="24"/>
                <w:szCs w:val="24"/>
              </w:rPr>
              <w:t>3</w:t>
            </w:r>
          </w:p>
        </w:tc>
        <w:tc>
          <w:tcPr>
            <w:tcW w:w="1980" w:type="dxa"/>
            <w:tcBorders>
              <w:top w:val="single" w:sz="2" w:space="0" w:color="auto"/>
              <w:left w:val="single" w:sz="2" w:space="0" w:color="auto"/>
              <w:bottom w:val="single" w:sz="2" w:space="0" w:color="auto"/>
              <w:right w:val="single" w:sz="2" w:space="0" w:color="auto"/>
            </w:tcBorders>
            <w:vAlign w:val="center"/>
          </w:tcPr>
          <w:p w:rsidR="00296EC8" w:rsidRPr="000E0B81" w:rsidRDefault="00296EC8" w:rsidP="008B1800">
            <w:pPr>
              <w:spacing w:beforeLines="60" w:afterLines="60"/>
              <w:ind w:right="-272"/>
              <w:jc w:val="center"/>
              <w:rPr>
                <w:sz w:val="24"/>
                <w:szCs w:val="24"/>
              </w:rPr>
            </w:pPr>
            <w:r w:rsidRPr="000E0B81">
              <w:rPr>
                <w:sz w:val="24"/>
                <w:szCs w:val="24"/>
              </w:rPr>
              <w:t>2</w:t>
            </w:r>
          </w:p>
        </w:tc>
      </w:tr>
    </w:tbl>
    <w:p w:rsidR="00296EC8" w:rsidRPr="000E0B81" w:rsidRDefault="00296EC8" w:rsidP="00296EC8">
      <w:pPr>
        <w:pStyle w:val="a3"/>
        <w:spacing w:after="240" w:line="360" w:lineRule="auto"/>
        <w:ind w:firstLine="709"/>
        <w:jc w:val="both"/>
        <w:rPr>
          <w:rFonts w:ascii="Times New Roman" w:hAnsi="Times New Roman"/>
          <w:sz w:val="24"/>
          <w:szCs w:val="24"/>
        </w:rPr>
      </w:pPr>
      <w:proofErr w:type="gramStart"/>
      <w:r w:rsidRPr="000E0B81">
        <w:rPr>
          <w:rFonts w:ascii="Times New Roman" w:hAnsi="Times New Roman"/>
          <w:sz w:val="20"/>
          <w:szCs w:val="20"/>
        </w:rPr>
        <w:t>П</w:t>
      </w:r>
      <w:proofErr w:type="gramEnd"/>
      <w:r w:rsidRPr="000E0B81">
        <w:rPr>
          <w:rFonts w:ascii="Times New Roman" w:hAnsi="Times New Roman"/>
          <w:sz w:val="20"/>
          <w:szCs w:val="20"/>
        </w:rPr>
        <w:t xml:space="preserve"> </w:t>
      </w:r>
      <w:proofErr w:type="spellStart"/>
      <w:r w:rsidRPr="000E0B81">
        <w:rPr>
          <w:rFonts w:ascii="Times New Roman" w:hAnsi="Times New Roman"/>
          <w:sz w:val="20"/>
          <w:szCs w:val="20"/>
        </w:rPr>
        <w:t>р</w:t>
      </w:r>
      <w:proofErr w:type="spellEnd"/>
      <w:r w:rsidRPr="000E0B81">
        <w:rPr>
          <w:rFonts w:ascii="Times New Roman" w:hAnsi="Times New Roman"/>
          <w:sz w:val="20"/>
          <w:szCs w:val="20"/>
        </w:rPr>
        <w:t xml:space="preserve"> и м е ч а н и е – В таблице «1», «2» и «3» - соответственно простая, средней сложности и сложная геотехнические категории. </w:t>
      </w:r>
    </w:p>
    <w:p w:rsidR="00296EC8" w:rsidRPr="000E0B81" w:rsidRDefault="00296EC8" w:rsidP="00D16815">
      <w:pPr>
        <w:pStyle w:val="a5"/>
        <w:numPr>
          <w:ilvl w:val="0"/>
          <w:numId w:val="1"/>
        </w:numPr>
        <w:spacing w:line="360" w:lineRule="auto"/>
        <w:ind w:left="0" w:firstLine="567"/>
        <w:jc w:val="both"/>
        <w:rPr>
          <w:sz w:val="24"/>
          <w:szCs w:val="24"/>
        </w:rPr>
      </w:pPr>
      <w:r w:rsidRPr="000E0B81">
        <w:rPr>
          <w:sz w:val="24"/>
          <w:szCs w:val="24"/>
        </w:rPr>
        <w:t xml:space="preserve">Категорию сложности инженерно-геологических условий строительства следует определять в соответствии со  СП 47.13330.2012, уровень ответственности подземных коммуникаций - в соответствии с  ГОСТ </w:t>
      </w:r>
      <w:proofErr w:type="gramStart"/>
      <w:r w:rsidRPr="000E0B81">
        <w:rPr>
          <w:sz w:val="24"/>
          <w:szCs w:val="24"/>
        </w:rPr>
        <w:t>Р</w:t>
      </w:r>
      <w:proofErr w:type="gramEnd"/>
      <w:r w:rsidRPr="000E0B81">
        <w:rPr>
          <w:sz w:val="24"/>
          <w:szCs w:val="24"/>
        </w:rPr>
        <w:t xml:space="preserve"> 54257-2010.</w:t>
      </w:r>
    </w:p>
    <w:p w:rsidR="00296EC8" w:rsidRPr="000E0B81" w:rsidRDefault="00296EC8" w:rsidP="00D16815">
      <w:pPr>
        <w:pStyle w:val="a5"/>
        <w:numPr>
          <w:ilvl w:val="0"/>
          <w:numId w:val="1"/>
        </w:numPr>
        <w:spacing w:line="360" w:lineRule="auto"/>
        <w:ind w:left="0" w:firstLine="567"/>
        <w:jc w:val="both"/>
        <w:rPr>
          <w:sz w:val="24"/>
          <w:szCs w:val="24"/>
        </w:rPr>
      </w:pPr>
      <w:r w:rsidRPr="000E0B81">
        <w:rPr>
          <w:sz w:val="24"/>
          <w:szCs w:val="24"/>
        </w:rPr>
        <w:t>В случае</w:t>
      </w:r>
      <w:proofErr w:type="gramStart"/>
      <w:r w:rsidRPr="000E0B81">
        <w:rPr>
          <w:sz w:val="24"/>
          <w:szCs w:val="24"/>
        </w:rPr>
        <w:t>,</w:t>
      </w:r>
      <w:proofErr w:type="gramEnd"/>
      <w:r w:rsidRPr="000E0B81">
        <w:rPr>
          <w:sz w:val="24"/>
          <w:szCs w:val="24"/>
        </w:rPr>
        <w:t xml:space="preserve"> если строительство или эксплуатация подземной коммуникации оказывает влияние на существующий объект окружающей застройки более высокого уровня ответственности, то уровень ответственности проектируемой подземной коммуникации должен приниматься соответствующим уровню ответственности объекта окружающей застройки, подверженного влиянию.</w:t>
      </w:r>
    </w:p>
    <w:p w:rsidR="00296EC8" w:rsidRPr="000E0B81" w:rsidRDefault="00296EC8" w:rsidP="00296EC8">
      <w:pPr>
        <w:pStyle w:val="a3"/>
        <w:spacing w:line="360" w:lineRule="auto"/>
        <w:ind w:firstLine="709"/>
        <w:jc w:val="both"/>
        <w:rPr>
          <w:rFonts w:ascii="Times New Roman" w:hAnsi="Times New Roman"/>
          <w:sz w:val="24"/>
          <w:szCs w:val="24"/>
        </w:rPr>
      </w:pPr>
      <w:r w:rsidRPr="000E0B81">
        <w:rPr>
          <w:rFonts w:ascii="Times New Roman" w:hAnsi="Times New Roman"/>
          <w:sz w:val="24"/>
          <w:szCs w:val="24"/>
        </w:rPr>
        <w:t>Для подземных коммуникаций допускается назначать различную геотехническую категорию для отдельных локальных и линейных частей и участков.</w:t>
      </w:r>
    </w:p>
    <w:p w:rsidR="00B60CBD" w:rsidRDefault="00B60CBD"/>
    <w:sectPr w:rsidR="00B60CBD" w:rsidSect="008B1800">
      <w:footerReference w:type="default" r:id="rId7"/>
      <w:pgSz w:w="11906" w:h="16838"/>
      <w:pgMar w:top="1134" w:right="850" w:bottom="1134" w:left="1701" w:header="708" w:footer="708" w:gutter="0"/>
      <w:pgNumType w:start="7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D9B" w:rsidRDefault="00301D9B" w:rsidP="008B1800">
      <w:r>
        <w:separator/>
      </w:r>
    </w:p>
  </w:endnote>
  <w:endnote w:type="continuationSeparator" w:id="0">
    <w:p w:rsidR="00301D9B" w:rsidRDefault="00301D9B" w:rsidP="008B18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84855"/>
      <w:docPartObj>
        <w:docPartGallery w:val="Page Numbers (Bottom of Page)"/>
        <w:docPartUnique/>
      </w:docPartObj>
    </w:sdtPr>
    <w:sdtContent>
      <w:p w:rsidR="008B1800" w:rsidRDefault="008B1800">
        <w:pPr>
          <w:pStyle w:val="a8"/>
          <w:jc w:val="center"/>
        </w:pPr>
        <w:fldSimple w:instr=" PAGE   \* MERGEFORMAT ">
          <w:r>
            <w:rPr>
              <w:noProof/>
            </w:rPr>
            <w:t>71</w:t>
          </w:r>
        </w:fldSimple>
      </w:p>
    </w:sdtContent>
  </w:sdt>
  <w:p w:rsidR="008B1800" w:rsidRDefault="008B180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D9B" w:rsidRDefault="00301D9B" w:rsidP="008B1800">
      <w:r>
        <w:separator/>
      </w:r>
    </w:p>
  </w:footnote>
  <w:footnote w:type="continuationSeparator" w:id="0">
    <w:p w:rsidR="00301D9B" w:rsidRDefault="00301D9B" w:rsidP="008B18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72185"/>
    <w:multiLevelType w:val="hybridMultilevel"/>
    <w:tmpl w:val="5E323D68"/>
    <w:lvl w:ilvl="0" w:tplc="D2522074">
      <w:start w:val="1"/>
      <w:numFmt w:val="decimal"/>
      <w:lvlText w:val="К.%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296EC8"/>
    <w:rsid w:val="000156C9"/>
    <w:rsid w:val="00032DB0"/>
    <w:rsid w:val="00040CA0"/>
    <w:rsid w:val="0004389A"/>
    <w:rsid w:val="00062EED"/>
    <w:rsid w:val="000922F6"/>
    <w:rsid w:val="000A6375"/>
    <w:rsid w:val="000A7E55"/>
    <w:rsid w:val="000E3769"/>
    <w:rsid w:val="001077D8"/>
    <w:rsid w:val="00157A05"/>
    <w:rsid w:val="001C5514"/>
    <w:rsid w:val="001D45D7"/>
    <w:rsid w:val="001F7F77"/>
    <w:rsid w:val="00213DDE"/>
    <w:rsid w:val="00232A17"/>
    <w:rsid w:val="00233352"/>
    <w:rsid w:val="00261EAD"/>
    <w:rsid w:val="00276F46"/>
    <w:rsid w:val="00280F85"/>
    <w:rsid w:val="00296EC8"/>
    <w:rsid w:val="002D3DC7"/>
    <w:rsid w:val="002E1DCB"/>
    <w:rsid w:val="00301D9B"/>
    <w:rsid w:val="0030221D"/>
    <w:rsid w:val="00340E82"/>
    <w:rsid w:val="003A0D1F"/>
    <w:rsid w:val="003D2257"/>
    <w:rsid w:val="003E63E6"/>
    <w:rsid w:val="00400F6C"/>
    <w:rsid w:val="004077E1"/>
    <w:rsid w:val="004458A3"/>
    <w:rsid w:val="00453AE5"/>
    <w:rsid w:val="0045548A"/>
    <w:rsid w:val="004B2158"/>
    <w:rsid w:val="004D4DA2"/>
    <w:rsid w:val="005013C2"/>
    <w:rsid w:val="00510F99"/>
    <w:rsid w:val="00582A40"/>
    <w:rsid w:val="005C2FC8"/>
    <w:rsid w:val="005D477A"/>
    <w:rsid w:val="005E2E4F"/>
    <w:rsid w:val="00602ECD"/>
    <w:rsid w:val="0061325B"/>
    <w:rsid w:val="00626CC4"/>
    <w:rsid w:val="0063270A"/>
    <w:rsid w:val="00643E2A"/>
    <w:rsid w:val="006A48FB"/>
    <w:rsid w:val="006B2202"/>
    <w:rsid w:val="007007F1"/>
    <w:rsid w:val="007350B4"/>
    <w:rsid w:val="00790597"/>
    <w:rsid w:val="00797BB0"/>
    <w:rsid w:val="007B2ADC"/>
    <w:rsid w:val="007E4C04"/>
    <w:rsid w:val="007E55C4"/>
    <w:rsid w:val="007F29E1"/>
    <w:rsid w:val="008108A1"/>
    <w:rsid w:val="0082024A"/>
    <w:rsid w:val="00836023"/>
    <w:rsid w:val="0084785B"/>
    <w:rsid w:val="00863F2E"/>
    <w:rsid w:val="00871E27"/>
    <w:rsid w:val="008B1800"/>
    <w:rsid w:val="008D5EBE"/>
    <w:rsid w:val="00926C27"/>
    <w:rsid w:val="00947357"/>
    <w:rsid w:val="0097404B"/>
    <w:rsid w:val="009B4FA6"/>
    <w:rsid w:val="009B64E9"/>
    <w:rsid w:val="009C11E8"/>
    <w:rsid w:val="009C57F3"/>
    <w:rsid w:val="00A01FBA"/>
    <w:rsid w:val="00A12621"/>
    <w:rsid w:val="00A26D75"/>
    <w:rsid w:val="00A33730"/>
    <w:rsid w:val="00A3668B"/>
    <w:rsid w:val="00A36BD5"/>
    <w:rsid w:val="00A6292C"/>
    <w:rsid w:val="00A7536E"/>
    <w:rsid w:val="00AA2626"/>
    <w:rsid w:val="00AA31A5"/>
    <w:rsid w:val="00AD3DAC"/>
    <w:rsid w:val="00AD5D45"/>
    <w:rsid w:val="00AD64FB"/>
    <w:rsid w:val="00AE73D4"/>
    <w:rsid w:val="00B319DC"/>
    <w:rsid w:val="00B507CF"/>
    <w:rsid w:val="00B564CF"/>
    <w:rsid w:val="00B60CBD"/>
    <w:rsid w:val="00B971C9"/>
    <w:rsid w:val="00BB08F7"/>
    <w:rsid w:val="00BD2E0A"/>
    <w:rsid w:val="00BE15DC"/>
    <w:rsid w:val="00BE249D"/>
    <w:rsid w:val="00C16548"/>
    <w:rsid w:val="00C312A2"/>
    <w:rsid w:val="00C33960"/>
    <w:rsid w:val="00C51313"/>
    <w:rsid w:val="00C6013A"/>
    <w:rsid w:val="00CA7A13"/>
    <w:rsid w:val="00CB50F6"/>
    <w:rsid w:val="00CE4099"/>
    <w:rsid w:val="00CF44CA"/>
    <w:rsid w:val="00D078ED"/>
    <w:rsid w:val="00D12DF8"/>
    <w:rsid w:val="00D16815"/>
    <w:rsid w:val="00D35A4A"/>
    <w:rsid w:val="00D706EE"/>
    <w:rsid w:val="00D76695"/>
    <w:rsid w:val="00DB48D6"/>
    <w:rsid w:val="00DB76FC"/>
    <w:rsid w:val="00DC1EB8"/>
    <w:rsid w:val="00DC5C08"/>
    <w:rsid w:val="00E136B9"/>
    <w:rsid w:val="00E204B2"/>
    <w:rsid w:val="00E2590C"/>
    <w:rsid w:val="00E31CE8"/>
    <w:rsid w:val="00E8338C"/>
    <w:rsid w:val="00E90F26"/>
    <w:rsid w:val="00E94C6B"/>
    <w:rsid w:val="00EF0628"/>
    <w:rsid w:val="00F11801"/>
    <w:rsid w:val="00F259B7"/>
    <w:rsid w:val="00F3431F"/>
    <w:rsid w:val="00F35148"/>
    <w:rsid w:val="00FB7D6E"/>
    <w:rsid w:val="00FC5194"/>
    <w:rsid w:val="00FC7E3D"/>
    <w:rsid w:val="00FF3225"/>
    <w:rsid w:val="00FF5C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EC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 Знак"/>
    <w:basedOn w:val="a"/>
    <w:link w:val="a4"/>
    <w:uiPriority w:val="99"/>
    <w:unhideWhenUsed/>
    <w:rsid w:val="00296EC8"/>
    <w:pPr>
      <w:overflowPunct/>
      <w:autoSpaceDE/>
      <w:autoSpaceDN/>
      <w:adjustRightInd/>
    </w:pPr>
    <w:rPr>
      <w:rFonts w:ascii="Consolas" w:eastAsia="Calibri" w:hAnsi="Consolas"/>
      <w:sz w:val="21"/>
      <w:szCs w:val="21"/>
      <w:lang w:eastAsia="en-US"/>
    </w:rPr>
  </w:style>
  <w:style w:type="character" w:customStyle="1" w:styleId="a4">
    <w:name w:val="Текст Знак"/>
    <w:aliases w:val=" Знак Знак"/>
    <w:basedOn w:val="a0"/>
    <w:link w:val="a3"/>
    <w:uiPriority w:val="99"/>
    <w:rsid w:val="00296EC8"/>
    <w:rPr>
      <w:rFonts w:ascii="Consolas" w:eastAsia="Calibri" w:hAnsi="Consolas" w:cs="Times New Roman"/>
      <w:sz w:val="21"/>
      <w:szCs w:val="21"/>
    </w:rPr>
  </w:style>
  <w:style w:type="paragraph" w:styleId="a5">
    <w:name w:val="List Paragraph"/>
    <w:basedOn w:val="a"/>
    <w:uiPriority w:val="34"/>
    <w:qFormat/>
    <w:rsid w:val="00D16815"/>
    <w:pPr>
      <w:ind w:left="720"/>
      <w:contextualSpacing/>
    </w:pPr>
  </w:style>
  <w:style w:type="paragraph" w:styleId="a6">
    <w:name w:val="header"/>
    <w:basedOn w:val="a"/>
    <w:link w:val="a7"/>
    <w:uiPriority w:val="99"/>
    <w:semiHidden/>
    <w:unhideWhenUsed/>
    <w:rsid w:val="008B1800"/>
    <w:pPr>
      <w:tabs>
        <w:tab w:val="center" w:pos="4677"/>
        <w:tab w:val="right" w:pos="9355"/>
      </w:tabs>
    </w:pPr>
  </w:style>
  <w:style w:type="character" w:customStyle="1" w:styleId="a7">
    <w:name w:val="Верхний колонтитул Знак"/>
    <w:basedOn w:val="a0"/>
    <w:link w:val="a6"/>
    <w:uiPriority w:val="99"/>
    <w:semiHidden/>
    <w:rsid w:val="008B1800"/>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8B1800"/>
    <w:pPr>
      <w:tabs>
        <w:tab w:val="center" w:pos="4677"/>
        <w:tab w:val="right" w:pos="9355"/>
      </w:tabs>
    </w:pPr>
  </w:style>
  <w:style w:type="character" w:customStyle="1" w:styleId="a9">
    <w:name w:val="Нижний колонтитул Знак"/>
    <w:basedOn w:val="a0"/>
    <w:link w:val="a8"/>
    <w:uiPriority w:val="99"/>
    <w:rsid w:val="008B180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EC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 Знак"/>
    <w:basedOn w:val="a"/>
    <w:link w:val="a4"/>
    <w:uiPriority w:val="99"/>
    <w:unhideWhenUsed/>
    <w:rsid w:val="00296EC8"/>
    <w:pPr>
      <w:overflowPunct/>
      <w:autoSpaceDE/>
      <w:autoSpaceDN/>
      <w:adjustRightInd/>
    </w:pPr>
    <w:rPr>
      <w:rFonts w:ascii="Consolas" w:eastAsia="Calibri" w:hAnsi="Consolas"/>
      <w:sz w:val="21"/>
      <w:szCs w:val="21"/>
      <w:lang w:eastAsia="en-US"/>
    </w:rPr>
  </w:style>
  <w:style w:type="character" w:customStyle="1" w:styleId="a4">
    <w:name w:val="Текст Знак"/>
    <w:aliases w:val=" Знак Знак"/>
    <w:basedOn w:val="a0"/>
    <w:link w:val="a3"/>
    <w:uiPriority w:val="99"/>
    <w:rsid w:val="00296EC8"/>
    <w:rPr>
      <w:rFonts w:ascii="Consolas" w:eastAsia="Calibri" w:hAnsi="Consolas" w:cs="Times New Roman"/>
      <w:sz w:val="21"/>
      <w:szCs w:val="21"/>
    </w:rPr>
  </w:style>
  <w:style w:type="paragraph" w:styleId="a5">
    <w:name w:val="List Paragraph"/>
    <w:basedOn w:val="a"/>
    <w:uiPriority w:val="34"/>
    <w:qFormat/>
    <w:rsid w:val="00D1681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Лаборатория 35</cp:lastModifiedBy>
  <cp:revision>5</cp:revision>
  <dcterms:created xsi:type="dcterms:W3CDTF">2014-02-03T09:33:00Z</dcterms:created>
  <dcterms:modified xsi:type="dcterms:W3CDTF">2014-02-03T10:22:00Z</dcterms:modified>
</cp:coreProperties>
</file>