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BC" w:rsidRPr="000E0B81" w:rsidRDefault="00976EBC" w:rsidP="00976EBC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 xml:space="preserve">Приложение </w:t>
      </w:r>
      <w:r w:rsidR="00E6349F">
        <w:rPr>
          <w:b/>
          <w:bCs/>
          <w:sz w:val="24"/>
          <w:szCs w:val="24"/>
        </w:rPr>
        <w:t>Д</w:t>
      </w:r>
    </w:p>
    <w:p w:rsidR="00E6349F" w:rsidRPr="000E0B81" w:rsidRDefault="00E6349F" w:rsidP="00E6349F">
      <w:pPr>
        <w:tabs>
          <w:tab w:val="left" w:pos="-3060"/>
        </w:tabs>
        <w:spacing w:line="360" w:lineRule="auto"/>
        <w:jc w:val="center"/>
        <w:rPr>
          <w:bCs/>
          <w:sz w:val="24"/>
          <w:szCs w:val="24"/>
        </w:rPr>
      </w:pPr>
      <w:r w:rsidRPr="000E0B81">
        <w:rPr>
          <w:bCs/>
          <w:sz w:val="24"/>
          <w:szCs w:val="24"/>
        </w:rPr>
        <w:t>(рекомендуемое)</w:t>
      </w:r>
    </w:p>
    <w:p w:rsidR="00E6349F" w:rsidRPr="00E6349F" w:rsidRDefault="00E6349F" w:rsidP="00E6349F">
      <w:pPr>
        <w:pStyle w:val="a3"/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49F">
        <w:rPr>
          <w:rFonts w:ascii="Times New Roman" w:hAnsi="Times New Roman" w:cs="Times New Roman"/>
          <w:b/>
          <w:sz w:val="28"/>
          <w:szCs w:val="28"/>
        </w:rPr>
        <w:t>Выбор размеров расчетной области и геомеханической модели грунта</w:t>
      </w:r>
    </w:p>
    <w:p w:rsidR="00E6349F" w:rsidRPr="00D9244A" w:rsidRDefault="00E6349F" w:rsidP="00D9244A">
      <w:pPr>
        <w:pStyle w:val="aa"/>
        <w:numPr>
          <w:ilvl w:val="0"/>
          <w:numId w:val="3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D9244A">
        <w:rPr>
          <w:sz w:val="24"/>
          <w:szCs w:val="24"/>
        </w:rPr>
        <w:t xml:space="preserve">Для предварительной оценки влияния строительства при моделировании (расчеты в плоской постановке) проходки открытых и закрытых выработок с использованием идеально упруго-пластической модели грунта ширину и глубину расчетной области (см. рис. </w:t>
      </w:r>
      <w:r w:rsidR="00D9244A">
        <w:rPr>
          <w:sz w:val="24"/>
          <w:szCs w:val="24"/>
        </w:rPr>
        <w:t>Д</w:t>
      </w:r>
      <w:r w:rsidRPr="00D9244A">
        <w:rPr>
          <w:sz w:val="24"/>
          <w:szCs w:val="24"/>
        </w:rPr>
        <w:t xml:space="preserve">.1, а, б) допускается принимать по таблицам </w:t>
      </w:r>
      <w:r w:rsidR="00D9244A">
        <w:rPr>
          <w:sz w:val="24"/>
          <w:szCs w:val="24"/>
        </w:rPr>
        <w:t>Д</w:t>
      </w:r>
      <w:r w:rsidRPr="00D9244A">
        <w:rPr>
          <w:sz w:val="24"/>
          <w:szCs w:val="24"/>
        </w:rPr>
        <w:t xml:space="preserve">.1 и </w:t>
      </w:r>
      <w:r w:rsidR="00D9244A">
        <w:rPr>
          <w:sz w:val="24"/>
          <w:szCs w:val="24"/>
        </w:rPr>
        <w:t>Д</w:t>
      </w:r>
      <w:r w:rsidRPr="00D9244A">
        <w:rPr>
          <w:sz w:val="24"/>
          <w:szCs w:val="24"/>
        </w:rPr>
        <w:t xml:space="preserve">.2. </w:t>
      </w:r>
    </w:p>
    <w:p w:rsidR="00E6349F" w:rsidRPr="000E0B81" w:rsidRDefault="0054348C" w:rsidP="00E6349F">
      <w:pPr>
        <w:spacing w:after="120"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.1pt;margin-top:.1pt;width:27.75pt;height:26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" strokecolor="white">
            <v:textbox>
              <w:txbxContent>
                <w:p w:rsidR="00E6349F" w:rsidRPr="00B82D9A" w:rsidRDefault="00E6349F" w:rsidP="00E6349F">
                  <w:pPr>
                    <w:rPr>
                      <w:sz w:val="24"/>
                      <w:szCs w:val="24"/>
                    </w:rPr>
                  </w:pPr>
                  <w:r w:rsidRPr="00B82D9A">
                    <w:rPr>
                      <w:sz w:val="24"/>
                      <w:szCs w:val="24"/>
                    </w:rPr>
                    <w:t>а)</w:t>
                  </w:r>
                </w:p>
              </w:txbxContent>
            </v:textbox>
          </v:shape>
        </w:pict>
      </w:r>
      <w:r w:rsidR="00E6349F">
        <w:rPr>
          <w:noProof/>
          <w:sz w:val="24"/>
          <w:szCs w:val="24"/>
        </w:rPr>
        <w:drawing>
          <wp:inline distT="0" distB="0" distL="0" distR="0">
            <wp:extent cx="4451350" cy="2475865"/>
            <wp:effectExtent l="19050" t="0" r="6350" b="0"/>
            <wp:docPr id="1" name="Рисунок 1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9189" b="31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247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49F" w:rsidRPr="000E0B81" w:rsidRDefault="0054348C" w:rsidP="00E6349F">
      <w:pPr>
        <w:jc w:val="center"/>
        <w:rPr>
          <w:lang w:val="en-US"/>
        </w:rPr>
      </w:pPr>
      <w:r>
        <w:rPr>
          <w:noProof/>
          <w:sz w:val="24"/>
          <w:szCs w:val="24"/>
        </w:rPr>
        <w:pict>
          <v:shape id="Text Box 3" o:spid="_x0000_s1027" type="#_x0000_t202" style="position:absolute;left:0;text-align:left;margin-left:21.25pt;margin-top:6.25pt;width:27.75pt;height:26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" strokecolor="white">
            <v:textbox>
              <w:txbxContent>
                <w:p w:rsidR="00E6349F" w:rsidRPr="00B82D9A" w:rsidRDefault="00E6349F" w:rsidP="00E634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  <w:r w:rsidRPr="00B82D9A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="00E6349F">
        <w:rPr>
          <w:noProof/>
        </w:rPr>
        <w:drawing>
          <wp:inline distT="0" distB="0" distL="0" distR="0">
            <wp:extent cx="4511675" cy="2519045"/>
            <wp:effectExtent l="19050" t="0" r="3175" b="0"/>
            <wp:docPr id="2" name="Рисунок 2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0074" b="30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251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49F" w:rsidRPr="000E0B81" w:rsidRDefault="00E6349F" w:rsidP="00E6349F">
      <w:pPr>
        <w:pStyle w:val="a6"/>
        <w:spacing w:line="240" w:lineRule="auto"/>
        <w:ind w:left="357" w:firstLine="0"/>
        <w:jc w:val="center"/>
        <w:rPr>
          <w:bCs/>
          <w:sz w:val="20"/>
        </w:rPr>
      </w:pPr>
      <w:r w:rsidRPr="000E0B81">
        <w:rPr>
          <w:bCs/>
          <w:i/>
          <w:sz w:val="20"/>
        </w:rPr>
        <w:t>а</w:t>
      </w:r>
      <w:r w:rsidRPr="000E0B81">
        <w:rPr>
          <w:bCs/>
          <w:i/>
          <w:sz w:val="20"/>
          <w:vertAlign w:val="subscript"/>
        </w:rPr>
        <w:t xml:space="preserve"> </w:t>
      </w:r>
      <w:r w:rsidRPr="000E0B81">
        <w:rPr>
          <w:bCs/>
          <w:sz w:val="20"/>
        </w:rPr>
        <w:t xml:space="preserve"> – расстояние в плане между краем выработки и вертикальной границей расчетной области; </w:t>
      </w:r>
      <w:r w:rsidRPr="000E0B81">
        <w:rPr>
          <w:bCs/>
          <w:i/>
          <w:sz w:val="20"/>
          <w:lang w:val="en-US"/>
        </w:rPr>
        <w:t>b</w:t>
      </w:r>
      <w:r w:rsidRPr="000E0B81">
        <w:rPr>
          <w:bCs/>
          <w:i/>
          <w:sz w:val="20"/>
          <w:vertAlign w:val="subscript"/>
        </w:rPr>
        <w:t xml:space="preserve"> </w:t>
      </w:r>
      <w:r w:rsidRPr="000E0B81">
        <w:rPr>
          <w:bCs/>
          <w:sz w:val="20"/>
        </w:rPr>
        <w:t xml:space="preserve"> – расстояние по высоте между низом выработки и нижней границей расчетной области; </w:t>
      </w:r>
      <w:r w:rsidRPr="000E0B81">
        <w:rPr>
          <w:bCs/>
          <w:i/>
          <w:sz w:val="20"/>
        </w:rPr>
        <w:t>Н</w:t>
      </w:r>
      <w:r w:rsidRPr="000E0B81">
        <w:rPr>
          <w:bCs/>
          <w:i/>
          <w:sz w:val="20"/>
          <w:vertAlign w:val="subscript"/>
          <w:lang w:val="en-US"/>
        </w:rPr>
        <w:t>s</w:t>
      </w:r>
      <w:r w:rsidRPr="000E0B81">
        <w:rPr>
          <w:bCs/>
          <w:i/>
          <w:sz w:val="20"/>
          <w:vertAlign w:val="subscript"/>
        </w:rPr>
        <w:t xml:space="preserve"> </w:t>
      </w:r>
      <w:r w:rsidRPr="000E0B81">
        <w:rPr>
          <w:bCs/>
          <w:sz w:val="20"/>
        </w:rPr>
        <w:t xml:space="preserve">, </w:t>
      </w:r>
      <w:r w:rsidRPr="000E0B81">
        <w:rPr>
          <w:bCs/>
          <w:i/>
          <w:sz w:val="20"/>
        </w:rPr>
        <w:t>Н</w:t>
      </w:r>
      <w:r w:rsidRPr="000E0B81">
        <w:rPr>
          <w:bCs/>
          <w:i/>
          <w:sz w:val="20"/>
          <w:vertAlign w:val="subscript"/>
          <w:lang w:val="en-US"/>
        </w:rPr>
        <w:t>t</w:t>
      </w:r>
      <w:r w:rsidRPr="000E0B81">
        <w:rPr>
          <w:bCs/>
          <w:sz w:val="20"/>
          <w:vertAlign w:val="subscript"/>
        </w:rPr>
        <w:t xml:space="preserve">  </w:t>
      </w:r>
      <w:r w:rsidRPr="000E0B81">
        <w:rPr>
          <w:bCs/>
          <w:sz w:val="20"/>
        </w:rPr>
        <w:t xml:space="preserve">- глубина заложения низа открытой или закрытой выработки; </w:t>
      </w:r>
      <w:r w:rsidRPr="000E0B81">
        <w:rPr>
          <w:bCs/>
          <w:i/>
          <w:sz w:val="20"/>
          <w:lang w:val="en-US"/>
        </w:rPr>
        <w:t>D</w:t>
      </w:r>
      <w:r w:rsidRPr="000E0B81">
        <w:rPr>
          <w:bCs/>
          <w:sz w:val="20"/>
        </w:rPr>
        <w:t xml:space="preserve"> - диаметр или поперечный размер тоннеля</w:t>
      </w:r>
    </w:p>
    <w:p w:rsidR="00E6349F" w:rsidRPr="000E0B81" w:rsidRDefault="00E6349F" w:rsidP="00E6349F">
      <w:pPr>
        <w:pStyle w:val="a6"/>
        <w:ind w:left="360" w:firstLine="0"/>
        <w:jc w:val="center"/>
        <w:rPr>
          <w:bCs/>
          <w:sz w:val="20"/>
        </w:rPr>
      </w:pPr>
    </w:p>
    <w:p w:rsidR="00E6349F" w:rsidRPr="000E0B81" w:rsidRDefault="00E6349F" w:rsidP="00E6349F">
      <w:pPr>
        <w:tabs>
          <w:tab w:val="left" w:pos="-3060"/>
        </w:tabs>
        <w:spacing w:line="360" w:lineRule="auto"/>
        <w:jc w:val="center"/>
        <w:rPr>
          <w:color w:val="FF0000"/>
          <w:sz w:val="24"/>
          <w:szCs w:val="24"/>
        </w:rPr>
      </w:pPr>
      <w:r w:rsidRPr="000E0B81">
        <w:rPr>
          <w:sz w:val="24"/>
          <w:szCs w:val="24"/>
        </w:rPr>
        <w:t xml:space="preserve">Рис. </w:t>
      </w:r>
      <w:r w:rsidR="00D9244A">
        <w:rPr>
          <w:sz w:val="24"/>
          <w:szCs w:val="24"/>
        </w:rPr>
        <w:t>Д</w:t>
      </w:r>
      <w:r w:rsidRPr="000E0B81">
        <w:rPr>
          <w:sz w:val="24"/>
          <w:szCs w:val="24"/>
        </w:rPr>
        <w:t>.1. Схемы для выбора размеров расчетной области модели при выполнении оценки влияния строительства закрытой (а) и открытой (б) выработок</w:t>
      </w:r>
    </w:p>
    <w:p w:rsidR="00E6349F" w:rsidRPr="00E6349F" w:rsidRDefault="00E6349F" w:rsidP="00E6349F">
      <w:pPr>
        <w:pStyle w:val="a6"/>
        <w:spacing w:line="360" w:lineRule="auto"/>
        <w:ind w:firstLine="0"/>
        <w:jc w:val="right"/>
        <w:rPr>
          <w:szCs w:val="24"/>
        </w:rPr>
      </w:pPr>
    </w:p>
    <w:p w:rsidR="00E6349F" w:rsidRPr="00E6349F" w:rsidRDefault="00E6349F" w:rsidP="00E6349F">
      <w:pPr>
        <w:pStyle w:val="a6"/>
        <w:spacing w:line="360" w:lineRule="auto"/>
        <w:ind w:firstLine="0"/>
        <w:jc w:val="right"/>
        <w:rPr>
          <w:szCs w:val="24"/>
        </w:rPr>
      </w:pPr>
    </w:p>
    <w:p w:rsidR="00E6349F" w:rsidRPr="00E6349F" w:rsidRDefault="00E6349F" w:rsidP="00E6349F">
      <w:pPr>
        <w:pStyle w:val="a6"/>
        <w:spacing w:line="360" w:lineRule="auto"/>
        <w:ind w:firstLine="0"/>
        <w:jc w:val="right"/>
        <w:rPr>
          <w:szCs w:val="24"/>
        </w:rPr>
      </w:pPr>
    </w:p>
    <w:p w:rsidR="00E6349F" w:rsidRPr="000E0B81" w:rsidRDefault="00E6349F" w:rsidP="0083294E">
      <w:pPr>
        <w:pStyle w:val="a6"/>
        <w:spacing w:line="360" w:lineRule="auto"/>
        <w:ind w:firstLine="0"/>
        <w:jc w:val="left"/>
        <w:rPr>
          <w:szCs w:val="24"/>
        </w:rPr>
      </w:pPr>
      <w:r w:rsidRPr="000E0B81">
        <w:rPr>
          <w:szCs w:val="24"/>
        </w:rPr>
        <w:lastRenderedPageBreak/>
        <w:t xml:space="preserve">Таблица </w:t>
      </w:r>
      <w:r w:rsidR="00D9244A">
        <w:rPr>
          <w:szCs w:val="24"/>
        </w:rPr>
        <w:t>Д</w:t>
      </w:r>
      <w:r w:rsidRPr="000E0B81">
        <w:rPr>
          <w:szCs w:val="24"/>
        </w:rPr>
        <w:t>.1 Ширина расчетной области при моделировании строительства открытых и закрытых выработок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693"/>
        <w:gridCol w:w="2694"/>
      </w:tblGrid>
      <w:tr w:rsidR="00E6349F" w:rsidRPr="000E0B81" w:rsidTr="008B5814">
        <w:tc>
          <w:tcPr>
            <w:tcW w:w="3969" w:type="dxa"/>
            <w:vMerge w:val="restart"/>
            <w:vAlign w:val="center"/>
          </w:tcPr>
          <w:p w:rsidR="00E6349F" w:rsidRPr="000E0B81" w:rsidRDefault="00E6349F" w:rsidP="008B5814">
            <w:pPr>
              <w:pStyle w:val="a6"/>
              <w:spacing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Тип нагрузок и воздействий</w:t>
            </w:r>
          </w:p>
        </w:tc>
        <w:tc>
          <w:tcPr>
            <w:tcW w:w="5387" w:type="dxa"/>
            <w:gridSpan w:val="2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Рекомендуемые размеры ширины расчетной области модели, </w:t>
            </w:r>
            <w:r w:rsidRPr="000E0B81">
              <w:rPr>
                <w:bCs/>
                <w:i/>
                <w:szCs w:val="24"/>
                <w:lang w:val="en-US"/>
              </w:rPr>
              <w:t>a</w:t>
            </w:r>
            <w:r w:rsidRPr="000E0B81">
              <w:rPr>
                <w:szCs w:val="24"/>
              </w:rPr>
              <w:t>, м</w:t>
            </w:r>
          </w:p>
        </w:tc>
      </w:tr>
      <w:tr w:rsidR="00E6349F" w:rsidRPr="000E0B81" w:rsidTr="008B5814">
        <w:tc>
          <w:tcPr>
            <w:tcW w:w="3969" w:type="dxa"/>
            <w:vMerge/>
            <w:vAlign w:val="center"/>
          </w:tcPr>
          <w:p w:rsidR="00E6349F" w:rsidRPr="000E0B81" w:rsidRDefault="00E6349F" w:rsidP="008B5814">
            <w:pPr>
              <w:pStyle w:val="a6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Песчаные грунты</w:t>
            </w:r>
          </w:p>
        </w:tc>
        <w:tc>
          <w:tcPr>
            <w:tcW w:w="2694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Глинистые грунты</w:t>
            </w:r>
          </w:p>
        </w:tc>
      </w:tr>
      <w:tr w:rsidR="00E6349F" w:rsidRPr="000E0B81" w:rsidTr="008B5814">
        <w:tc>
          <w:tcPr>
            <w:tcW w:w="3969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закрытой выработки</w:t>
            </w:r>
          </w:p>
        </w:tc>
        <w:tc>
          <w:tcPr>
            <w:tcW w:w="2693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0E0B81">
              <w:rPr>
                <w:bCs/>
                <w:i/>
                <w:szCs w:val="24"/>
                <w:lang w:val="en-US"/>
              </w:rPr>
              <w:t>a</w:t>
            </w:r>
            <w:r w:rsidRPr="000E0B81">
              <w:rPr>
                <w:bCs/>
                <w:szCs w:val="24"/>
              </w:rPr>
              <w:t xml:space="preserve"> </w:t>
            </w:r>
            <w:r w:rsidRPr="000E0B81">
              <w:rPr>
                <w:bCs/>
                <w:szCs w:val="24"/>
              </w:rPr>
              <w:sym w:font="Symbol" w:char="00B3"/>
            </w:r>
            <w:r w:rsidRPr="000E0B81">
              <w:rPr>
                <w:bCs/>
                <w:szCs w:val="24"/>
              </w:rPr>
              <w:t xml:space="preserve"> 3</w:t>
            </w:r>
            <w:r w:rsidRPr="000E0B81">
              <w:rPr>
                <w:bCs/>
                <w:i/>
                <w:szCs w:val="24"/>
              </w:rPr>
              <w:t xml:space="preserve"> Н</w:t>
            </w:r>
            <w:r w:rsidRPr="000E0B81">
              <w:rPr>
                <w:bCs/>
                <w:i/>
                <w:szCs w:val="24"/>
                <w:vertAlign w:val="subscript"/>
                <w:lang w:val="en-US"/>
              </w:rPr>
              <w:t>t</w:t>
            </w:r>
          </w:p>
        </w:tc>
        <w:tc>
          <w:tcPr>
            <w:tcW w:w="2694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0E0B81">
              <w:rPr>
                <w:bCs/>
                <w:i/>
                <w:szCs w:val="24"/>
                <w:lang w:val="en-US"/>
              </w:rPr>
              <w:t>a</w:t>
            </w:r>
            <w:r w:rsidRPr="000E0B81">
              <w:rPr>
                <w:bCs/>
                <w:szCs w:val="24"/>
              </w:rPr>
              <w:t xml:space="preserve"> </w:t>
            </w:r>
            <w:r w:rsidRPr="000E0B81">
              <w:rPr>
                <w:bCs/>
                <w:szCs w:val="24"/>
              </w:rPr>
              <w:sym w:font="Symbol" w:char="00B3"/>
            </w:r>
            <w:r w:rsidRPr="000E0B81">
              <w:rPr>
                <w:bCs/>
                <w:szCs w:val="24"/>
              </w:rPr>
              <w:t xml:space="preserve"> 6</w:t>
            </w:r>
            <w:r w:rsidRPr="000E0B81">
              <w:rPr>
                <w:bCs/>
                <w:i/>
                <w:szCs w:val="24"/>
              </w:rPr>
              <w:t xml:space="preserve"> Н</w:t>
            </w:r>
            <w:r w:rsidRPr="000E0B81">
              <w:rPr>
                <w:bCs/>
                <w:i/>
                <w:szCs w:val="24"/>
                <w:vertAlign w:val="subscript"/>
                <w:lang w:val="en-US"/>
              </w:rPr>
              <w:t>t</w:t>
            </w:r>
          </w:p>
        </w:tc>
      </w:tr>
      <w:tr w:rsidR="00E6349F" w:rsidRPr="000E0B81" w:rsidTr="008B5814">
        <w:tc>
          <w:tcPr>
            <w:tcW w:w="3969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0E0B81">
              <w:rPr>
                <w:szCs w:val="24"/>
              </w:rPr>
              <w:t>открытой выработки</w:t>
            </w:r>
          </w:p>
        </w:tc>
        <w:tc>
          <w:tcPr>
            <w:tcW w:w="2693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0E0B81">
              <w:rPr>
                <w:bCs/>
                <w:i/>
                <w:szCs w:val="24"/>
              </w:rPr>
              <w:t xml:space="preserve">а </w:t>
            </w:r>
            <w:r w:rsidRPr="000E0B81">
              <w:rPr>
                <w:bCs/>
                <w:szCs w:val="24"/>
              </w:rPr>
              <w:sym w:font="Symbol" w:char="00B3"/>
            </w:r>
            <w:r w:rsidRPr="000E0B81">
              <w:rPr>
                <w:bCs/>
                <w:szCs w:val="24"/>
              </w:rPr>
              <w:t xml:space="preserve"> 3</w:t>
            </w:r>
            <w:r w:rsidRPr="000E0B81">
              <w:rPr>
                <w:bCs/>
                <w:i/>
                <w:szCs w:val="24"/>
              </w:rPr>
              <w:t xml:space="preserve"> Н</w:t>
            </w:r>
            <w:r w:rsidRPr="000E0B81">
              <w:rPr>
                <w:bCs/>
                <w:i/>
                <w:szCs w:val="24"/>
                <w:vertAlign w:val="subscript"/>
                <w:lang w:val="en-US"/>
              </w:rPr>
              <w:t>s</w:t>
            </w:r>
          </w:p>
        </w:tc>
        <w:tc>
          <w:tcPr>
            <w:tcW w:w="2694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0E0B81">
              <w:rPr>
                <w:bCs/>
                <w:i/>
                <w:szCs w:val="24"/>
              </w:rPr>
              <w:t>а</w:t>
            </w:r>
            <w:r w:rsidRPr="000E0B81">
              <w:rPr>
                <w:bCs/>
                <w:szCs w:val="24"/>
              </w:rPr>
              <w:t xml:space="preserve"> </w:t>
            </w:r>
            <w:r w:rsidRPr="000E0B81">
              <w:rPr>
                <w:bCs/>
                <w:szCs w:val="24"/>
              </w:rPr>
              <w:sym w:font="Symbol" w:char="00B3"/>
            </w:r>
            <w:r w:rsidRPr="000E0B81">
              <w:rPr>
                <w:bCs/>
                <w:szCs w:val="24"/>
              </w:rPr>
              <w:t xml:space="preserve"> 6</w:t>
            </w:r>
            <w:r w:rsidRPr="000E0B81">
              <w:rPr>
                <w:bCs/>
                <w:i/>
                <w:szCs w:val="24"/>
              </w:rPr>
              <w:t xml:space="preserve"> Н</w:t>
            </w:r>
            <w:r w:rsidRPr="000E0B81">
              <w:rPr>
                <w:bCs/>
                <w:i/>
                <w:szCs w:val="24"/>
                <w:vertAlign w:val="subscript"/>
                <w:lang w:val="en-US"/>
              </w:rPr>
              <w:t>s</w:t>
            </w:r>
          </w:p>
        </w:tc>
      </w:tr>
    </w:tbl>
    <w:p w:rsidR="00E6349F" w:rsidRPr="000E0B81" w:rsidRDefault="00E6349F" w:rsidP="00E6349F">
      <w:pPr>
        <w:pStyle w:val="a6"/>
        <w:ind w:firstLine="0"/>
        <w:rPr>
          <w:bCs/>
          <w:spacing w:val="20"/>
          <w:sz w:val="20"/>
        </w:rPr>
      </w:pPr>
    </w:p>
    <w:p w:rsidR="0083294E" w:rsidRDefault="0083294E" w:rsidP="0083294E">
      <w:pPr>
        <w:pStyle w:val="a6"/>
        <w:spacing w:line="360" w:lineRule="auto"/>
        <w:ind w:firstLine="0"/>
        <w:jc w:val="left"/>
        <w:rPr>
          <w:szCs w:val="24"/>
        </w:rPr>
      </w:pPr>
    </w:p>
    <w:p w:rsidR="00E6349F" w:rsidRPr="000E0B81" w:rsidRDefault="00E6349F" w:rsidP="0083294E">
      <w:pPr>
        <w:pStyle w:val="a6"/>
        <w:spacing w:line="360" w:lineRule="auto"/>
        <w:ind w:firstLine="0"/>
        <w:jc w:val="left"/>
        <w:rPr>
          <w:szCs w:val="24"/>
        </w:rPr>
      </w:pPr>
      <w:r w:rsidRPr="000E0B81">
        <w:rPr>
          <w:szCs w:val="24"/>
        </w:rPr>
        <w:t xml:space="preserve">Таблица </w:t>
      </w:r>
      <w:r w:rsidR="00D9244A">
        <w:rPr>
          <w:szCs w:val="24"/>
        </w:rPr>
        <w:t>Д</w:t>
      </w:r>
      <w:r w:rsidRPr="000E0B81">
        <w:rPr>
          <w:szCs w:val="24"/>
        </w:rPr>
        <w:t>.2</w:t>
      </w:r>
      <w:r w:rsidR="0083294E">
        <w:rPr>
          <w:szCs w:val="24"/>
        </w:rPr>
        <w:t xml:space="preserve"> </w:t>
      </w:r>
      <w:r w:rsidRPr="000E0B81">
        <w:rPr>
          <w:szCs w:val="24"/>
        </w:rPr>
        <w:t>Глубина расчетной области при моделировании строительства открытых и закрытых выработок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E6349F" w:rsidRPr="000E0B81" w:rsidTr="008B5814">
        <w:trPr>
          <w:trHeight w:val="292"/>
        </w:trPr>
        <w:tc>
          <w:tcPr>
            <w:tcW w:w="3969" w:type="dxa"/>
            <w:vAlign w:val="center"/>
          </w:tcPr>
          <w:p w:rsidR="00E6349F" w:rsidRPr="000E0B81" w:rsidRDefault="00E6349F" w:rsidP="008B5814">
            <w:pPr>
              <w:pStyle w:val="a6"/>
              <w:spacing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Тип нагрузок и воздействий</w:t>
            </w:r>
          </w:p>
        </w:tc>
        <w:tc>
          <w:tcPr>
            <w:tcW w:w="5387" w:type="dxa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Рекомендуемые размеры глубины расчетной области модели, </w:t>
            </w:r>
            <w:r w:rsidRPr="000E0B81">
              <w:rPr>
                <w:i/>
                <w:szCs w:val="28"/>
                <w:lang w:val="en-US"/>
              </w:rPr>
              <w:t>b</w:t>
            </w:r>
            <w:r w:rsidRPr="000E0B81">
              <w:rPr>
                <w:szCs w:val="28"/>
              </w:rPr>
              <w:t>,</w:t>
            </w:r>
            <w:r w:rsidRPr="000E0B81">
              <w:rPr>
                <w:szCs w:val="24"/>
              </w:rPr>
              <w:t xml:space="preserve"> м</w:t>
            </w:r>
          </w:p>
        </w:tc>
      </w:tr>
      <w:tr w:rsidR="00E6349F" w:rsidRPr="000E0B81" w:rsidTr="008B5814">
        <w:tc>
          <w:tcPr>
            <w:tcW w:w="3969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закрытой выработки</w:t>
            </w:r>
          </w:p>
        </w:tc>
        <w:tc>
          <w:tcPr>
            <w:tcW w:w="5387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i/>
                <w:szCs w:val="28"/>
                <w:lang w:val="en-US"/>
              </w:rPr>
              <w:t>b</w:t>
            </w:r>
            <w:r w:rsidRPr="000E0B81">
              <w:rPr>
                <w:i/>
                <w:szCs w:val="28"/>
              </w:rPr>
              <w:t xml:space="preserve"> = 0,5</w:t>
            </w:r>
            <w:r w:rsidRPr="000E0B81">
              <w:rPr>
                <w:i/>
                <w:szCs w:val="28"/>
                <w:lang w:val="en-US"/>
              </w:rPr>
              <w:t>D</w:t>
            </w:r>
          </w:p>
        </w:tc>
      </w:tr>
      <w:tr w:rsidR="00E6349F" w:rsidRPr="000E0B81" w:rsidTr="008B5814">
        <w:tc>
          <w:tcPr>
            <w:tcW w:w="3969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color w:val="FF0000"/>
                <w:szCs w:val="24"/>
              </w:rPr>
            </w:pPr>
            <w:r w:rsidRPr="000E0B81">
              <w:rPr>
                <w:szCs w:val="24"/>
              </w:rPr>
              <w:t>открытой выработки</w:t>
            </w:r>
          </w:p>
        </w:tc>
        <w:tc>
          <w:tcPr>
            <w:tcW w:w="5387" w:type="dxa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left="1026" w:firstLine="0"/>
              <w:jc w:val="left"/>
              <w:rPr>
                <w:szCs w:val="24"/>
                <w:vertAlign w:val="subscript"/>
              </w:rPr>
            </w:pPr>
            <w:r w:rsidRPr="000E0B81">
              <w:rPr>
                <w:i/>
                <w:szCs w:val="24"/>
                <w:lang w:val="en-US"/>
              </w:rPr>
              <w:t>b</w:t>
            </w:r>
            <w:r w:rsidRPr="000E0B81">
              <w:rPr>
                <w:i/>
                <w:szCs w:val="24"/>
                <w:vertAlign w:val="subscript"/>
              </w:rPr>
              <w:t xml:space="preserve"> </w:t>
            </w:r>
            <w:r w:rsidRPr="000E0B81">
              <w:rPr>
                <w:szCs w:val="24"/>
              </w:rPr>
              <w:t>=</w:t>
            </w:r>
            <w:r w:rsidRPr="000E0B81">
              <w:rPr>
                <w:i/>
                <w:szCs w:val="24"/>
              </w:rPr>
              <w:t xml:space="preserve">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i/>
                <w:szCs w:val="24"/>
                <w:vertAlign w:val="subscript"/>
                <w:lang w:val="en-US"/>
              </w:rPr>
              <w:t>rs</w:t>
            </w:r>
            <w:r w:rsidRPr="000E0B81">
              <w:rPr>
                <w:szCs w:val="24"/>
                <w:vertAlign w:val="subscript"/>
              </w:rPr>
              <w:t xml:space="preserve"> </w:t>
            </w:r>
            <w:r w:rsidRPr="000E0B81">
              <w:rPr>
                <w:szCs w:val="24"/>
              </w:rPr>
              <w:t>+ 0,5 при</w:t>
            </w:r>
            <w:r w:rsidRPr="000E0B81">
              <w:rPr>
                <w:i/>
                <w:szCs w:val="24"/>
              </w:rPr>
              <w:t xml:space="preserve">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szCs w:val="24"/>
                <w:vertAlign w:val="subscript"/>
              </w:rPr>
              <w:t>с</w:t>
            </w:r>
            <w:r w:rsidRPr="000E0B81">
              <w:rPr>
                <w:i/>
                <w:szCs w:val="24"/>
              </w:rPr>
              <w:t xml:space="preserve"> </w:t>
            </w:r>
            <w:r w:rsidRPr="000E0B81">
              <w:rPr>
                <w:szCs w:val="24"/>
              </w:rPr>
              <w:t xml:space="preserve">≤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i/>
                <w:szCs w:val="24"/>
                <w:vertAlign w:val="subscript"/>
                <w:lang w:val="en-US"/>
              </w:rPr>
              <w:t>rs</w:t>
            </w:r>
            <w:r w:rsidRPr="000E0B81">
              <w:rPr>
                <w:szCs w:val="24"/>
                <w:vertAlign w:val="subscript"/>
              </w:rPr>
              <w:t xml:space="preserve"> </w:t>
            </w:r>
            <w:r w:rsidRPr="000E0B81">
              <w:rPr>
                <w:szCs w:val="24"/>
              </w:rPr>
              <w:t>+ 0,5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left="1026" w:firstLine="0"/>
              <w:jc w:val="left"/>
              <w:rPr>
                <w:bCs/>
                <w:szCs w:val="24"/>
              </w:rPr>
            </w:pPr>
            <w:r w:rsidRPr="000E0B81">
              <w:rPr>
                <w:i/>
                <w:szCs w:val="24"/>
                <w:lang w:val="en-US"/>
              </w:rPr>
              <w:t>b</w:t>
            </w:r>
            <w:r w:rsidRPr="000E0B81">
              <w:rPr>
                <w:i/>
                <w:szCs w:val="24"/>
                <w:vertAlign w:val="subscript"/>
              </w:rPr>
              <w:t xml:space="preserve"> </w:t>
            </w:r>
            <w:r w:rsidRPr="000E0B81">
              <w:rPr>
                <w:szCs w:val="24"/>
              </w:rPr>
              <w:t xml:space="preserve">=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szCs w:val="24"/>
                <w:vertAlign w:val="subscript"/>
              </w:rPr>
              <w:t>с</w:t>
            </w:r>
            <w:r w:rsidRPr="000E0B81">
              <w:rPr>
                <w:i/>
                <w:szCs w:val="24"/>
              </w:rPr>
              <w:t xml:space="preserve"> </w:t>
            </w:r>
            <w:r w:rsidRPr="000E0B81">
              <w:rPr>
                <w:szCs w:val="24"/>
              </w:rPr>
              <w:t xml:space="preserve">при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szCs w:val="24"/>
                <w:vertAlign w:val="subscript"/>
              </w:rPr>
              <w:t>с</w:t>
            </w:r>
            <w:r w:rsidRPr="000E0B81">
              <w:rPr>
                <w:i/>
                <w:szCs w:val="24"/>
              </w:rPr>
              <w:t xml:space="preserve"> </w:t>
            </w:r>
            <w:r w:rsidRPr="000E0B81">
              <w:rPr>
                <w:szCs w:val="24"/>
              </w:rPr>
              <w:t xml:space="preserve">&gt; </w:t>
            </w:r>
            <w:r w:rsidRPr="000E0B81">
              <w:rPr>
                <w:i/>
                <w:szCs w:val="24"/>
                <w:lang w:val="en-US"/>
              </w:rPr>
              <w:t>H</w:t>
            </w:r>
            <w:r w:rsidRPr="000E0B81">
              <w:rPr>
                <w:i/>
                <w:szCs w:val="24"/>
                <w:vertAlign w:val="subscript"/>
                <w:lang w:val="en-US"/>
              </w:rPr>
              <w:t>rs</w:t>
            </w:r>
            <w:r w:rsidRPr="000E0B81">
              <w:rPr>
                <w:szCs w:val="24"/>
                <w:vertAlign w:val="subscript"/>
              </w:rPr>
              <w:t xml:space="preserve"> </w:t>
            </w:r>
            <w:r w:rsidRPr="000E0B81">
              <w:rPr>
                <w:szCs w:val="24"/>
              </w:rPr>
              <w:t xml:space="preserve">+ 0,5 </w:t>
            </w:r>
            <w:r w:rsidR="00E05783" w:rsidRPr="000E0B81">
              <w:rPr>
                <w:bCs/>
                <w:szCs w:val="24"/>
              </w:rPr>
              <w:fldChar w:fldCharType="begin"/>
            </w:r>
            <w:r w:rsidRPr="000E0B81">
              <w:rPr>
                <w:bCs/>
                <w:szCs w:val="24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=Н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vertAlign w:val="subscript"/>
                    </w:rPr>
                    <m:t>сж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в</m:t>
                  </m:r>
                </m:sup>
              </m:sSubSup>
            </m:oMath>
            <w:r w:rsidRPr="000E0B81">
              <w:rPr>
                <w:bCs/>
                <w:szCs w:val="24"/>
              </w:rPr>
              <w:instrText xml:space="preserve"> </w:instrText>
            </w:r>
            <w:r w:rsidR="00E05783" w:rsidRPr="000E0B81">
              <w:rPr>
                <w:bCs/>
                <w:szCs w:val="24"/>
              </w:rPr>
              <w:fldChar w:fldCharType="end"/>
            </w:r>
          </w:p>
        </w:tc>
      </w:tr>
    </w:tbl>
    <w:p w:rsidR="00E6349F" w:rsidRPr="000E0B81" w:rsidRDefault="00E6349F" w:rsidP="00E6349F">
      <w:pPr>
        <w:pStyle w:val="a6"/>
        <w:ind w:firstLine="0"/>
        <w:jc w:val="left"/>
        <w:rPr>
          <w:bCs/>
          <w:szCs w:val="24"/>
        </w:rPr>
      </w:pPr>
    </w:p>
    <w:p w:rsidR="00E6349F" w:rsidRPr="000E0B81" w:rsidRDefault="00E6349F" w:rsidP="00E6349F">
      <w:pPr>
        <w:pStyle w:val="a6"/>
        <w:ind w:firstLine="0"/>
        <w:rPr>
          <w:bCs/>
          <w:sz w:val="20"/>
        </w:rPr>
      </w:pPr>
      <w:r w:rsidRPr="000E0B81">
        <w:rPr>
          <w:bCs/>
          <w:spacing w:val="20"/>
          <w:sz w:val="20"/>
        </w:rPr>
        <w:t>Примечание</w:t>
      </w:r>
      <w:r w:rsidRPr="000E0B81">
        <w:rPr>
          <w:bCs/>
          <w:sz w:val="20"/>
        </w:rPr>
        <w:t xml:space="preserve">: </w:t>
      </w:r>
    </w:p>
    <w:p w:rsidR="00E6349F" w:rsidRPr="000E0B81" w:rsidRDefault="00E6349F" w:rsidP="00E6349F">
      <w:pPr>
        <w:pStyle w:val="a6"/>
        <w:numPr>
          <w:ilvl w:val="0"/>
          <w:numId w:val="1"/>
        </w:numPr>
        <w:spacing w:line="240" w:lineRule="auto"/>
        <w:rPr>
          <w:sz w:val="20"/>
        </w:rPr>
      </w:pPr>
      <w:r w:rsidRPr="000E0B81">
        <w:rPr>
          <w:i/>
          <w:sz w:val="20"/>
          <w:lang w:val="en-US"/>
        </w:rPr>
        <w:t>H</w:t>
      </w:r>
      <w:r w:rsidRPr="000E0B81">
        <w:rPr>
          <w:sz w:val="20"/>
          <w:vertAlign w:val="subscript"/>
        </w:rPr>
        <w:t>с</w:t>
      </w:r>
      <w:r w:rsidRPr="000E0B81">
        <w:rPr>
          <w:sz w:val="20"/>
        </w:rPr>
        <w:t xml:space="preserve"> </w:t>
      </w:r>
      <w:r w:rsidRPr="000E0B81">
        <w:rPr>
          <w:bCs/>
          <w:sz w:val="20"/>
        </w:rPr>
        <w:t>– глубина сжимаемой толщи основания условного ленточного фундамента</w:t>
      </w:r>
      <w:r w:rsidRPr="000E0B81">
        <w:rPr>
          <w:sz w:val="20"/>
        </w:rPr>
        <w:t xml:space="preserve">, подошва которого расположена в уровне низа шахтного ствола (котлована). Ширина фундамента принимается равной ширине шахтного ствола (котлована). Нагрузка по подошве условного фундамента принимается равной весу вынутого из ствола (котлована) грунта. </w:t>
      </w:r>
      <w:r w:rsidRPr="000E0B81">
        <w:rPr>
          <w:i/>
          <w:sz w:val="20"/>
          <w:lang w:val="en-US"/>
        </w:rPr>
        <w:t>H</w:t>
      </w:r>
      <w:r w:rsidRPr="000E0B81">
        <w:rPr>
          <w:sz w:val="20"/>
          <w:vertAlign w:val="subscript"/>
        </w:rPr>
        <w:t>с</w:t>
      </w:r>
      <w:r w:rsidRPr="000E0B81">
        <w:rPr>
          <w:sz w:val="20"/>
        </w:rPr>
        <w:t xml:space="preserve"> </w:t>
      </w:r>
      <w:r w:rsidRPr="000E0B81">
        <w:rPr>
          <w:bCs/>
          <w:sz w:val="20"/>
        </w:rPr>
        <w:t xml:space="preserve">рассчитывается согласно </w:t>
      </w:r>
      <w:r w:rsidRPr="000E0B81">
        <w:rPr>
          <w:sz w:val="20"/>
        </w:rPr>
        <w:t xml:space="preserve">СП 22.13330.2011, при этом используется модуль деформации </w:t>
      </w:r>
      <w:r w:rsidRPr="000E0B81">
        <w:rPr>
          <w:i/>
          <w:sz w:val="20"/>
          <w:lang w:val="en-US"/>
        </w:rPr>
        <w:t>E</w:t>
      </w:r>
      <w:r w:rsidR="00632134">
        <w:rPr>
          <w:sz w:val="20"/>
          <w:vertAlign w:val="subscript"/>
          <w:lang w:val="en-US"/>
        </w:rPr>
        <w:t>e</w:t>
      </w:r>
      <w:bookmarkStart w:id="0" w:name="_GoBack"/>
      <w:bookmarkEnd w:id="0"/>
      <w:r w:rsidRPr="000E0B81">
        <w:rPr>
          <w:sz w:val="20"/>
          <w:vertAlign w:val="subscript"/>
        </w:rPr>
        <w:t xml:space="preserve"> </w:t>
      </w:r>
      <w:r w:rsidRPr="000E0B81">
        <w:rPr>
          <w:sz w:val="20"/>
        </w:rPr>
        <w:t>по ветви вторичного нагружения.</w:t>
      </w:r>
    </w:p>
    <w:p w:rsidR="00E6349F" w:rsidRPr="000E0B81" w:rsidRDefault="00E6349F" w:rsidP="00E6349F">
      <w:pPr>
        <w:pStyle w:val="a6"/>
        <w:numPr>
          <w:ilvl w:val="0"/>
          <w:numId w:val="1"/>
        </w:numPr>
        <w:spacing w:line="240" w:lineRule="auto"/>
        <w:rPr>
          <w:sz w:val="20"/>
        </w:rPr>
      </w:pPr>
      <w:r w:rsidRPr="000E0B81">
        <w:rPr>
          <w:i/>
          <w:sz w:val="20"/>
          <w:lang w:val="en-US"/>
        </w:rPr>
        <w:t>H</w:t>
      </w:r>
      <w:r w:rsidRPr="000E0B81">
        <w:rPr>
          <w:i/>
          <w:sz w:val="20"/>
          <w:vertAlign w:val="subscript"/>
          <w:lang w:val="en-US"/>
        </w:rPr>
        <w:t>rs</w:t>
      </w:r>
      <w:r w:rsidRPr="000E0B81">
        <w:rPr>
          <w:i/>
          <w:sz w:val="20"/>
          <w:vertAlign w:val="subscript"/>
        </w:rPr>
        <w:t xml:space="preserve"> </w:t>
      </w:r>
      <w:r w:rsidRPr="000E0B81">
        <w:rPr>
          <w:sz w:val="20"/>
        </w:rPr>
        <w:t>- глубина заложения ограждений шахтного ствола (котлована).</w:t>
      </w:r>
    </w:p>
    <w:p w:rsidR="00E6349F" w:rsidRPr="00E6349F" w:rsidRDefault="00E6349F" w:rsidP="00E6349F">
      <w:pPr>
        <w:pStyle w:val="a6"/>
        <w:ind w:firstLine="0"/>
        <w:rPr>
          <w:sz w:val="20"/>
        </w:rPr>
      </w:pPr>
    </w:p>
    <w:p w:rsidR="00E6349F" w:rsidRPr="00D9244A" w:rsidRDefault="00E6349F" w:rsidP="00D9244A">
      <w:pPr>
        <w:pStyle w:val="aa"/>
        <w:numPr>
          <w:ilvl w:val="0"/>
          <w:numId w:val="3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D9244A">
        <w:rPr>
          <w:sz w:val="24"/>
          <w:szCs w:val="24"/>
        </w:rPr>
        <w:t xml:space="preserve">При моделировании строительства открытых и закрытых выработок модель грунта должна выбираться таким образом, чтобы она адекватно отражала поведение грунта под нагрузкой и воздействиями. Ее следует принимать на основе опыта сопоставления результатов прогнозных расчетов и данных мониторинга. Для моделирования допускается использовать следующие модели грунта (см. табл. </w:t>
      </w:r>
      <w:r w:rsidR="00D9244A">
        <w:rPr>
          <w:sz w:val="24"/>
          <w:szCs w:val="24"/>
        </w:rPr>
        <w:t>Д</w:t>
      </w:r>
      <w:r w:rsidRPr="00D9244A">
        <w:rPr>
          <w:sz w:val="24"/>
          <w:szCs w:val="24"/>
        </w:rPr>
        <w:t xml:space="preserve">.3). </w:t>
      </w:r>
    </w:p>
    <w:p w:rsidR="00E6349F" w:rsidRPr="000E0B81" w:rsidRDefault="00E6349F" w:rsidP="00E6349F">
      <w:pPr>
        <w:spacing w:line="360" w:lineRule="auto"/>
        <w:ind w:firstLine="567"/>
        <w:jc w:val="both"/>
        <w:rPr>
          <w:sz w:val="24"/>
          <w:szCs w:val="24"/>
        </w:rPr>
      </w:pPr>
      <w:r w:rsidRPr="00D9244A">
        <w:rPr>
          <w:i/>
          <w:sz w:val="24"/>
          <w:szCs w:val="24"/>
        </w:rPr>
        <w:t>Идеально упруго-пластическая</w:t>
      </w:r>
      <w:r w:rsidRPr="000E0B81">
        <w:rPr>
          <w:spacing w:val="20"/>
          <w:sz w:val="24"/>
          <w:szCs w:val="24"/>
        </w:rPr>
        <w:t xml:space="preserve"> </w:t>
      </w:r>
      <w:r w:rsidRPr="00D9244A">
        <w:rPr>
          <w:i/>
          <w:sz w:val="24"/>
          <w:szCs w:val="24"/>
        </w:rPr>
        <w:t>модель</w:t>
      </w:r>
      <w:r w:rsidRPr="000E0B81">
        <w:rPr>
          <w:sz w:val="24"/>
          <w:szCs w:val="24"/>
        </w:rPr>
        <w:t xml:space="preserve">. Достоинства </w:t>
      </w:r>
      <w:r w:rsidR="00D9244A">
        <w:rPr>
          <w:sz w:val="24"/>
          <w:szCs w:val="24"/>
        </w:rPr>
        <w:t>–</w:t>
      </w:r>
      <w:r w:rsidRPr="000E0B81">
        <w:rPr>
          <w:sz w:val="24"/>
          <w:szCs w:val="24"/>
        </w:rPr>
        <w:t xml:space="preserve"> входные параметры определяются из результатов стандартных инженерно-геологических изысканий. Недостатки – деформационные характеристики грунта не зависят от его напряженного состояния </w:t>
      </w:r>
    </w:p>
    <w:p w:rsidR="00E6349F" w:rsidRPr="000E0B81" w:rsidRDefault="00E6349F" w:rsidP="00E6349F">
      <w:pPr>
        <w:spacing w:line="360" w:lineRule="auto"/>
        <w:ind w:firstLine="567"/>
        <w:jc w:val="both"/>
        <w:rPr>
          <w:sz w:val="24"/>
          <w:szCs w:val="24"/>
        </w:rPr>
      </w:pPr>
      <w:r w:rsidRPr="00D9244A">
        <w:rPr>
          <w:i/>
          <w:spacing w:val="20"/>
          <w:sz w:val="24"/>
          <w:szCs w:val="24"/>
        </w:rPr>
        <w:t>Упруго-пластическая модель с упрочнением грунта</w:t>
      </w:r>
      <w:r w:rsidRPr="000E0B81">
        <w:rPr>
          <w:sz w:val="24"/>
          <w:szCs w:val="24"/>
        </w:rPr>
        <w:t xml:space="preserve">. Достоинства </w:t>
      </w:r>
      <w:r w:rsidR="00D9244A">
        <w:rPr>
          <w:sz w:val="24"/>
          <w:szCs w:val="24"/>
        </w:rPr>
        <w:t>–</w:t>
      </w:r>
      <w:r w:rsidRPr="000E0B81">
        <w:rPr>
          <w:sz w:val="24"/>
          <w:szCs w:val="24"/>
        </w:rPr>
        <w:t xml:space="preserve"> учитывает историю создания существующего напряженно-деформированного состояния </w:t>
      </w:r>
      <w:r w:rsidRPr="000E0B81">
        <w:rPr>
          <w:sz w:val="24"/>
          <w:szCs w:val="24"/>
        </w:rPr>
        <w:lastRenderedPageBreak/>
        <w:t xml:space="preserve">грунта (путем применения коэффициента переуплотнения грунта </w:t>
      </w:r>
      <w:r w:rsidRPr="00D9244A">
        <w:rPr>
          <w:i/>
          <w:sz w:val="24"/>
          <w:szCs w:val="24"/>
        </w:rPr>
        <w:t>OCR</w:t>
      </w:r>
      <w:r w:rsidRPr="000E0B81">
        <w:rPr>
          <w:sz w:val="24"/>
          <w:szCs w:val="24"/>
        </w:rPr>
        <w:t xml:space="preserve"> или давления ранее существовавшей пригрузки </w:t>
      </w:r>
      <w:r w:rsidRPr="00D9244A">
        <w:rPr>
          <w:i/>
          <w:sz w:val="24"/>
          <w:szCs w:val="24"/>
        </w:rPr>
        <w:t>РОР</w:t>
      </w:r>
      <w:r w:rsidRPr="000E0B81">
        <w:rPr>
          <w:sz w:val="24"/>
          <w:szCs w:val="24"/>
        </w:rPr>
        <w:t xml:space="preserve">), деформационные характеристики грунта зависят от напряженного состояния грунта. Недостатки – содержит параметры, требующие редко  выполняемые испытания грунтов (трехосные испытания и др.). </w:t>
      </w:r>
    </w:p>
    <w:p w:rsidR="0083294E" w:rsidRDefault="0083294E" w:rsidP="0083294E">
      <w:pPr>
        <w:pStyle w:val="a6"/>
        <w:spacing w:line="360" w:lineRule="auto"/>
        <w:ind w:firstLine="0"/>
        <w:jc w:val="left"/>
        <w:rPr>
          <w:szCs w:val="24"/>
        </w:rPr>
      </w:pPr>
    </w:p>
    <w:p w:rsidR="00E6349F" w:rsidRPr="000E0B81" w:rsidRDefault="00E6349F" w:rsidP="0083294E">
      <w:pPr>
        <w:pStyle w:val="a6"/>
        <w:spacing w:line="360" w:lineRule="auto"/>
        <w:ind w:firstLine="0"/>
        <w:jc w:val="left"/>
        <w:rPr>
          <w:szCs w:val="24"/>
        </w:rPr>
      </w:pPr>
      <w:r w:rsidRPr="000E0B81">
        <w:rPr>
          <w:szCs w:val="24"/>
        </w:rPr>
        <w:t>Таблица Б.3</w:t>
      </w:r>
      <w:r w:rsidR="0083294E">
        <w:rPr>
          <w:szCs w:val="24"/>
        </w:rPr>
        <w:t xml:space="preserve"> </w:t>
      </w:r>
      <w:r w:rsidRPr="000E0B81">
        <w:rPr>
          <w:szCs w:val="24"/>
        </w:rPr>
        <w:t>Геомеханические модели грунта при моделировании строительства открытых и закрытых выработок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7228"/>
      </w:tblGrid>
      <w:tr w:rsidR="00E6349F" w:rsidRPr="000E0B81" w:rsidTr="008B5814">
        <w:trPr>
          <w:trHeight w:val="292"/>
        </w:trPr>
        <w:tc>
          <w:tcPr>
            <w:tcW w:w="2128" w:type="dxa"/>
            <w:vAlign w:val="center"/>
          </w:tcPr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>Тип нагрузок и воздействий</w:t>
            </w:r>
          </w:p>
        </w:tc>
        <w:tc>
          <w:tcPr>
            <w:tcW w:w="7228" w:type="dxa"/>
            <w:vAlign w:val="center"/>
          </w:tcPr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Рекомендуемые геомеханические</w:t>
            </w:r>
          </w:p>
          <w:p w:rsidR="00E6349F" w:rsidRPr="000E0B81" w:rsidRDefault="00E6349F" w:rsidP="008B5814">
            <w:pPr>
              <w:pStyle w:val="a6"/>
              <w:spacing w:before="60" w:after="60" w:line="240" w:lineRule="auto"/>
              <w:ind w:firstLine="0"/>
              <w:jc w:val="center"/>
              <w:rPr>
                <w:szCs w:val="24"/>
              </w:rPr>
            </w:pPr>
            <w:r w:rsidRPr="000E0B81">
              <w:rPr>
                <w:szCs w:val="24"/>
              </w:rPr>
              <w:t>модели грунта</w:t>
            </w:r>
          </w:p>
        </w:tc>
      </w:tr>
      <w:tr w:rsidR="00E6349F" w:rsidRPr="000E0B81" w:rsidTr="008B5814">
        <w:tc>
          <w:tcPr>
            <w:tcW w:w="2128" w:type="dxa"/>
            <w:vAlign w:val="center"/>
          </w:tcPr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закрытой </w:t>
            </w:r>
          </w:p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>выработки</w:t>
            </w:r>
          </w:p>
        </w:tc>
        <w:tc>
          <w:tcPr>
            <w:tcW w:w="7228" w:type="dxa"/>
            <w:vAlign w:val="center"/>
          </w:tcPr>
          <w:p w:rsidR="00E6349F" w:rsidRPr="000E0B81" w:rsidRDefault="00E6349F" w:rsidP="00E6349F">
            <w:pPr>
              <w:pStyle w:val="a6"/>
              <w:numPr>
                <w:ilvl w:val="0"/>
                <w:numId w:val="2"/>
              </w:numPr>
              <w:spacing w:before="60" w:after="60" w:line="240" w:lineRule="auto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Идеально упруго-пластическая модель </w:t>
            </w:r>
            <w:r w:rsidRPr="000E0B81">
              <w:rPr>
                <w:szCs w:val="24"/>
                <w:lang w:val="en-US"/>
              </w:rPr>
              <w:t>c</w:t>
            </w:r>
            <w:r w:rsidRPr="000E0B81">
              <w:rPr>
                <w:szCs w:val="24"/>
              </w:rPr>
              <w:t xml:space="preserve"> использованием модуля деформации грунта по ветви первичного нагружения</w:t>
            </w:r>
          </w:p>
        </w:tc>
      </w:tr>
      <w:tr w:rsidR="00E6349F" w:rsidRPr="000E0B81" w:rsidTr="008B5814">
        <w:tc>
          <w:tcPr>
            <w:tcW w:w="2128" w:type="dxa"/>
            <w:vAlign w:val="center"/>
          </w:tcPr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Устройство </w:t>
            </w:r>
          </w:p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открытой </w:t>
            </w:r>
          </w:p>
          <w:p w:rsidR="00E6349F" w:rsidRPr="000E0B81" w:rsidRDefault="00E6349F" w:rsidP="00D9244A">
            <w:pPr>
              <w:pStyle w:val="a6"/>
              <w:spacing w:before="60" w:after="60" w:line="240" w:lineRule="auto"/>
              <w:ind w:firstLine="0"/>
              <w:jc w:val="left"/>
              <w:rPr>
                <w:color w:val="FF0000"/>
                <w:szCs w:val="24"/>
              </w:rPr>
            </w:pPr>
            <w:r w:rsidRPr="000E0B81">
              <w:rPr>
                <w:szCs w:val="24"/>
              </w:rPr>
              <w:t>выработки</w:t>
            </w:r>
          </w:p>
        </w:tc>
        <w:tc>
          <w:tcPr>
            <w:tcW w:w="7228" w:type="dxa"/>
            <w:vAlign w:val="center"/>
          </w:tcPr>
          <w:p w:rsidR="00E6349F" w:rsidRPr="000E0B81" w:rsidRDefault="00E6349F" w:rsidP="00E6349F">
            <w:pPr>
              <w:pStyle w:val="a6"/>
              <w:numPr>
                <w:ilvl w:val="0"/>
                <w:numId w:val="2"/>
              </w:numPr>
              <w:spacing w:before="60" w:after="60" w:line="240" w:lineRule="auto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Идеально упруго-пластическая модель </w:t>
            </w:r>
            <w:r w:rsidRPr="000E0B81">
              <w:rPr>
                <w:szCs w:val="24"/>
                <w:lang w:val="en-US"/>
              </w:rPr>
              <w:t>c</w:t>
            </w:r>
            <w:r w:rsidRPr="000E0B81">
              <w:rPr>
                <w:szCs w:val="24"/>
              </w:rPr>
              <w:t xml:space="preserve"> использованием модуля деформации грунта по ветви вторичного нагружения</w:t>
            </w:r>
          </w:p>
          <w:p w:rsidR="00E6349F" w:rsidRPr="000E0B81" w:rsidRDefault="00E6349F" w:rsidP="00E6349F">
            <w:pPr>
              <w:pStyle w:val="a6"/>
              <w:numPr>
                <w:ilvl w:val="0"/>
                <w:numId w:val="2"/>
              </w:numPr>
              <w:spacing w:before="60" w:after="60" w:line="240" w:lineRule="auto"/>
              <w:jc w:val="left"/>
              <w:rPr>
                <w:szCs w:val="24"/>
              </w:rPr>
            </w:pPr>
            <w:r w:rsidRPr="000E0B81">
              <w:rPr>
                <w:szCs w:val="24"/>
              </w:rPr>
              <w:t xml:space="preserve">Упруго-пластическая модель с упрочнением грунта </w:t>
            </w:r>
          </w:p>
        </w:tc>
      </w:tr>
    </w:tbl>
    <w:p w:rsidR="00E6349F" w:rsidRPr="000E0B81" w:rsidRDefault="00E6349F" w:rsidP="00E6349F">
      <w:pPr>
        <w:pStyle w:val="a6"/>
        <w:ind w:firstLine="0"/>
        <w:jc w:val="left"/>
        <w:rPr>
          <w:bCs/>
          <w:szCs w:val="24"/>
        </w:rPr>
      </w:pPr>
    </w:p>
    <w:p w:rsidR="00E6349F" w:rsidRPr="000E0B81" w:rsidRDefault="00E6349F" w:rsidP="00E6349F">
      <w:pPr>
        <w:pStyle w:val="a6"/>
        <w:rPr>
          <w:sz w:val="20"/>
        </w:rPr>
      </w:pPr>
    </w:p>
    <w:p w:rsidR="00E6349F" w:rsidRPr="00B21310" w:rsidRDefault="00E6349F" w:rsidP="00B21310">
      <w:pPr>
        <w:spacing w:line="360" w:lineRule="auto"/>
        <w:ind w:firstLine="567"/>
        <w:jc w:val="both"/>
        <w:rPr>
          <w:sz w:val="24"/>
          <w:szCs w:val="24"/>
        </w:rPr>
      </w:pPr>
    </w:p>
    <w:sectPr w:rsidR="00E6349F" w:rsidRPr="00B21310" w:rsidSect="00CA0B93">
      <w:footerReference w:type="default" r:id="rId10"/>
      <w:pgSz w:w="11906" w:h="16838"/>
      <w:pgMar w:top="993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48C" w:rsidRDefault="0054348C" w:rsidP="00CA0B93">
      <w:r>
        <w:separator/>
      </w:r>
    </w:p>
  </w:endnote>
  <w:endnote w:type="continuationSeparator" w:id="0">
    <w:p w:rsidR="0054348C" w:rsidRDefault="0054348C" w:rsidP="00CA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4143"/>
      <w:docPartObj>
        <w:docPartGallery w:val="Page Numbers (Bottom of Page)"/>
        <w:docPartUnique/>
      </w:docPartObj>
    </w:sdtPr>
    <w:sdtEndPr/>
    <w:sdtContent>
      <w:p w:rsidR="00CA0B93" w:rsidRDefault="0054348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134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CA0B93" w:rsidRDefault="00CA0B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48C" w:rsidRDefault="0054348C" w:rsidP="00CA0B93">
      <w:r>
        <w:separator/>
      </w:r>
    </w:p>
  </w:footnote>
  <w:footnote w:type="continuationSeparator" w:id="0">
    <w:p w:rsidR="0054348C" w:rsidRDefault="0054348C" w:rsidP="00CA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50A2"/>
    <w:multiLevelType w:val="hybridMultilevel"/>
    <w:tmpl w:val="5060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8136A"/>
    <w:multiLevelType w:val="hybridMultilevel"/>
    <w:tmpl w:val="1F1E3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B26AF"/>
    <w:multiLevelType w:val="hybridMultilevel"/>
    <w:tmpl w:val="925099B8"/>
    <w:lvl w:ilvl="0" w:tplc="A4C6CF92">
      <w:start w:val="1"/>
      <w:numFmt w:val="decimal"/>
      <w:lvlText w:val="Д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EBC"/>
    <w:rsid w:val="000156C9"/>
    <w:rsid w:val="00025ED3"/>
    <w:rsid w:val="00032DB0"/>
    <w:rsid w:val="00040CA0"/>
    <w:rsid w:val="0004389A"/>
    <w:rsid w:val="00062EED"/>
    <w:rsid w:val="000922F6"/>
    <w:rsid w:val="000A6375"/>
    <w:rsid w:val="000A7E55"/>
    <w:rsid w:val="000E3769"/>
    <w:rsid w:val="001077D8"/>
    <w:rsid w:val="001326B2"/>
    <w:rsid w:val="00157A05"/>
    <w:rsid w:val="001C5514"/>
    <w:rsid w:val="001D45D7"/>
    <w:rsid w:val="001F7F77"/>
    <w:rsid w:val="00213DDE"/>
    <w:rsid w:val="00232A17"/>
    <w:rsid w:val="00233352"/>
    <w:rsid w:val="00261EAD"/>
    <w:rsid w:val="00276F46"/>
    <w:rsid w:val="00280F85"/>
    <w:rsid w:val="002D3DC7"/>
    <w:rsid w:val="002E1DCB"/>
    <w:rsid w:val="0030221D"/>
    <w:rsid w:val="0032055B"/>
    <w:rsid w:val="00340E82"/>
    <w:rsid w:val="0037602E"/>
    <w:rsid w:val="00397A53"/>
    <w:rsid w:val="003A0D1F"/>
    <w:rsid w:val="003C1B41"/>
    <w:rsid w:val="003E63E6"/>
    <w:rsid w:val="00400F6C"/>
    <w:rsid w:val="00427AED"/>
    <w:rsid w:val="004458A3"/>
    <w:rsid w:val="00453AE5"/>
    <w:rsid w:val="0045548A"/>
    <w:rsid w:val="004B2158"/>
    <w:rsid w:val="004D4DA2"/>
    <w:rsid w:val="004E39AA"/>
    <w:rsid w:val="005013C2"/>
    <w:rsid w:val="00503C45"/>
    <w:rsid w:val="00504966"/>
    <w:rsid w:val="00510F99"/>
    <w:rsid w:val="0054348C"/>
    <w:rsid w:val="00582A40"/>
    <w:rsid w:val="00584EC6"/>
    <w:rsid w:val="005C2FC8"/>
    <w:rsid w:val="005D477A"/>
    <w:rsid w:val="005E2E4F"/>
    <w:rsid w:val="00602ECD"/>
    <w:rsid w:val="0061325B"/>
    <w:rsid w:val="00626CC4"/>
    <w:rsid w:val="006306D6"/>
    <w:rsid w:val="00632134"/>
    <w:rsid w:val="0063270A"/>
    <w:rsid w:val="00643E2A"/>
    <w:rsid w:val="0067148D"/>
    <w:rsid w:val="0069557E"/>
    <w:rsid w:val="006A48FB"/>
    <w:rsid w:val="006B2202"/>
    <w:rsid w:val="006F7A86"/>
    <w:rsid w:val="007007F1"/>
    <w:rsid w:val="007350B4"/>
    <w:rsid w:val="00790597"/>
    <w:rsid w:val="00797BB0"/>
    <w:rsid w:val="007B2ADC"/>
    <w:rsid w:val="007E4C04"/>
    <w:rsid w:val="007F29E1"/>
    <w:rsid w:val="008108A1"/>
    <w:rsid w:val="0082024A"/>
    <w:rsid w:val="0083294E"/>
    <w:rsid w:val="00836023"/>
    <w:rsid w:val="0084785B"/>
    <w:rsid w:val="00863F2E"/>
    <w:rsid w:val="00871E27"/>
    <w:rsid w:val="008B0977"/>
    <w:rsid w:val="008D5EBE"/>
    <w:rsid w:val="00925930"/>
    <w:rsid w:val="00926C27"/>
    <w:rsid w:val="0097404B"/>
    <w:rsid w:val="00976EBC"/>
    <w:rsid w:val="009A78D2"/>
    <w:rsid w:val="009B4FA6"/>
    <w:rsid w:val="009B64E9"/>
    <w:rsid w:val="009C11E8"/>
    <w:rsid w:val="009D567E"/>
    <w:rsid w:val="00A01FBA"/>
    <w:rsid w:val="00A12621"/>
    <w:rsid w:val="00A26D75"/>
    <w:rsid w:val="00A322A8"/>
    <w:rsid w:val="00A33730"/>
    <w:rsid w:val="00A3668B"/>
    <w:rsid w:val="00A36BD5"/>
    <w:rsid w:val="00A6292C"/>
    <w:rsid w:val="00A7536E"/>
    <w:rsid w:val="00AA2626"/>
    <w:rsid w:val="00AA31A5"/>
    <w:rsid w:val="00AC1806"/>
    <w:rsid w:val="00AD3DAC"/>
    <w:rsid w:val="00AD5D45"/>
    <w:rsid w:val="00AD64FB"/>
    <w:rsid w:val="00AE73D4"/>
    <w:rsid w:val="00B21310"/>
    <w:rsid w:val="00B319DC"/>
    <w:rsid w:val="00B564CF"/>
    <w:rsid w:val="00B60CBD"/>
    <w:rsid w:val="00B71486"/>
    <w:rsid w:val="00BB08F7"/>
    <w:rsid w:val="00BE15DC"/>
    <w:rsid w:val="00BE249D"/>
    <w:rsid w:val="00C16548"/>
    <w:rsid w:val="00C312A2"/>
    <w:rsid w:val="00C33960"/>
    <w:rsid w:val="00C51313"/>
    <w:rsid w:val="00C6013A"/>
    <w:rsid w:val="00CA0B93"/>
    <w:rsid w:val="00CA7A13"/>
    <w:rsid w:val="00CB50F6"/>
    <w:rsid w:val="00CC586D"/>
    <w:rsid w:val="00CE4099"/>
    <w:rsid w:val="00CF44CA"/>
    <w:rsid w:val="00D078ED"/>
    <w:rsid w:val="00D12DF8"/>
    <w:rsid w:val="00D35A4A"/>
    <w:rsid w:val="00D706EE"/>
    <w:rsid w:val="00D76695"/>
    <w:rsid w:val="00D9244A"/>
    <w:rsid w:val="00DB48D6"/>
    <w:rsid w:val="00DB76FC"/>
    <w:rsid w:val="00DC1EB8"/>
    <w:rsid w:val="00DC5C08"/>
    <w:rsid w:val="00E05783"/>
    <w:rsid w:val="00E136B9"/>
    <w:rsid w:val="00E204B2"/>
    <w:rsid w:val="00E2590C"/>
    <w:rsid w:val="00E6349F"/>
    <w:rsid w:val="00E8338C"/>
    <w:rsid w:val="00E90F26"/>
    <w:rsid w:val="00E94C6B"/>
    <w:rsid w:val="00EF0628"/>
    <w:rsid w:val="00F11801"/>
    <w:rsid w:val="00F236E9"/>
    <w:rsid w:val="00F259B7"/>
    <w:rsid w:val="00F3431F"/>
    <w:rsid w:val="00F35148"/>
    <w:rsid w:val="00FB7D6E"/>
    <w:rsid w:val="00FC5194"/>
    <w:rsid w:val="00FC7E3D"/>
    <w:rsid w:val="00FF3225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Знак"/>
    <w:basedOn w:val="a"/>
    <w:link w:val="a4"/>
    <w:uiPriority w:val="99"/>
    <w:unhideWhenUsed/>
    <w:rsid w:val="0067148D"/>
    <w:pPr>
      <w:overflowPunct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67148D"/>
    <w:rPr>
      <w:rFonts w:ascii="Consolas" w:eastAsia="Calibri" w:hAnsi="Consolas" w:cs="Consolas"/>
      <w:sz w:val="21"/>
      <w:szCs w:val="21"/>
    </w:rPr>
  </w:style>
  <w:style w:type="character" w:styleId="a5">
    <w:name w:val="Strong"/>
    <w:uiPriority w:val="22"/>
    <w:qFormat/>
    <w:rsid w:val="009D567E"/>
    <w:rPr>
      <w:b/>
      <w:bCs/>
    </w:rPr>
  </w:style>
  <w:style w:type="paragraph" w:customStyle="1" w:styleId="Default">
    <w:name w:val="Default"/>
    <w:rsid w:val="003C1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 Indent"/>
    <w:basedOn w:val="a"/>
    <w:link w:val="a7"/>
    <w:rsid w:val="00E6349F"/>
    <w:pPr>
      <w:overflowPunct/>
      <w:autoSpaceDE/>
      <w:autoSpaceDN/>
      <w:adjustRightInd/>
      <w:spacing w:line="48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E6349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34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49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9244A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A0B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A0B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0B9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0B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Знак"/>
    <w:basedOn w:val="a"/>
    <w:link w:val="a4"/>
    <w:uiPriority w:val="99"/>
    <w:unhideWhenUsed/>
    <w:rsid w:val="0067148D"/>
    <w:pPr>
      <w:overflowPunct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67148D"/>
    <w:rPr>
      <w:rFonts w:ascii="Consolas" w:eastAsia="Calibri" w:hAnsi="Consolas" w:cs="Consolas"/>
      <w:sz w:val="21"/>
      <w:szCs w:val="21"/>
    </w:rPr>
  </w:style>
  <w:style w:type="character" w:styleId="a5">
    <w:name w:val="Strong"/>
    <w:uiPriority w:val="22"/>
    <w:qFormat/>
    <w:rsid w:val="009D567E"/>
    <w:rPr>
      <w:b/>
      <w:bCs/>
    </w:rPr>
  </w:style>
  <w:style w:type="paragraph" w:customStyle="1" w:styleId="Default">
    <w:name w:val="Default"/>
    <w:rsid w:val="003C1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 Indent"/>
    <w:basedOn w:val="a"/>
    <w:link w:val="a7"/>
    <w:rsid w:val="00E6349F"/>
    <w:pPr>
      <w:overflowPunct/>
      <w:autoSpaceDE/>
      <w:autoSpaceDN/>
      <w:adjustRightInd/>
      <w:spacing w:line="48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E6349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34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49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92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 НИИОСП</cp:lastModifiedBy>
  <cp:revision>6</cp:revision>
  <dcterms:created xsi:type="dcterms:W3CDTF">2014-02-03T09:31:00Z</dcterms:created>
  <dcterms:modified xsi:type="dcterms:W3CDTF">2014-02-04T13:46:00Z</dcterms:modified>
</cp:coreProperties>
</file>